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18"/>
          <w:szCs w:val="18"/>
          <w:b w:val="1"/>
          <w:bCs w:val="1"/>
          <w:color w:val="auto"/>
        </w:rPr>
        <w:t>UNITED STATES</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SECURITIES AND EXCHANGE COMMISSION</w:t>
      </w:r>
    </w:p>
    <w:p>
      <w:pPr>
        <w:spacing w:after="0" w:line="90"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Washington, DC 20549</w:t>
      </w:r>
    </w:p>
    <w:p>
      <w:pPr>
        <w:spacing w:after="0" w:line="183" w:lineRule="exact"/>
        <w:rPr>
          <w:sz w:val="24"/>
          <w:szCs w:val="24"/>
          <w:color w:val="auto"/>
        </w:rPr>
      </w:pPr>
    </w:p>
    <w:p>
      <w:pPr>
        <w:jc w:val="center"/>
        <w:ind w:right="-1040"/>
        <w:spacing w:after="0"/>
        <w:rPr>
          <w:sz w:val="20"/>
          <w:szCs w:val="20"/>
          <w:color w:val="auto"/>
        </w:rPr>
      </w:pPr>
      <w:r>
        <w:rPr>
          <w:rFonts w:ascii="Arial" w:cs="Arial" w:eastAsia="Arial" w:hAnsi="Arial"/>
          <w:sz w:val="29"/>
          <w:szCs w:val="29"/>
          <w:b w:val="1"/>
          <w:bCs w:val="1"/>
          <w:color w:val="auto"/>
        </w:rPr>
        <w:t>SCHEDULE 14A</w:t>
      </w:r>
    </w:p>
    <w:p>
      <w:pPr>
        <w:spacing w:after="0" w:line="222"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OF THE SECURITIES EXCHANGE ACT OF 1934</w:t>
      </w:r>
    </w:p>
    <w:p>
      <w:pPr>
        <w:jc w:val="center"/>
        <w:ind w:right="-1040"/>
        <w:spacing w:after="0"/>
        <w:tabs>
          <w:tab w:leader="none" w:pos="240" w:val="left"/>
        </w:tabs>
        <w:rPr>
          <w:sz w:val="20"/>
          <w:szCs w:val="20"/>
          <w:color w:val="auto"/>
        </w:rPr>
      </w:pPr>
      <w:r>
        <w:rPr>
          <w:rFonts w:ascii="Arial" w:cs="Arial" w:eastAsia="Arial" w:hAnsi="Arial"/>
          <w:sz w:val="18"/>
          <w:szCs w:val="18"/>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789940</wp:posOffset>
            </wp:positionH>
            <wp:positionV relativeFrom="paragraph">
              <wp:posOffset>126365</wp:posOffset>
            </wp:positionV>
            <wp:extent cx="214630" cy="2146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630" cy="214630"/>
                    </a:xfrm>
                    <a:prstGeom prst="rect">
                      <a:avLst/>
                    </a:prstGeom>
                    <a:noFill/>
                  </pic:spPr>
                </pic:pic>
              </a:graphicData>
            </a:graphic>
          </wp:anchor>
        </w:drawing>
      </w:r>
    </w:p>
    <w:p>
      <w:pPr>
        <w:spacing w:after="0" w:line="158" w:lineRule="exact"/>
        <w:rPr>
          <w:sz w:val="24"/>
          <w:szCs w:val="24"/>
          <w:color w:val="auto"/>
        </w:rPr>
      </w:pPr>
    </w:p>
    <w:p>
      <w:pPr>
        <w:jc w:val="right"/>
        <w:ind w:right="379"/>
        <w:spacing w:after="0"/>
        <w:rPr>
          <w:sz w:val="20"/>
          <w:szCs w:val="20"/>
          <w:color w:val="auto"/>
        </w:rPr>
      </w:pPr>
      <w:r>
        <w:rPr>
          <w:rFonts w:ascii="Arial" w:cs="Arial" w:eastAsia="Arial" w:hAnsi="Arial"/>
          <w:sz w:val="18"/>
          <w:szCs w:val="18"/>
          <w:color w:val="auto"/>
        </w:rPr>
        <w:t xml:space="preserve">Filed by the Registrant                          </w:t>
      </w:r>
      <w:r>
        <w:rPr>
          <w:sz w:val="1"/>
          <w:szCs w:val="1"/>
          <w:color w:val="auto"/>
        </w:rPr>
        <w:drawing>
          <wp:inline distT="0" distB="0" distL="0" distR="0">
            <wp:extent cx="214630" cy="2146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4630" cy="214630"/>
                    </a:xfrm>
                    <a:prstGeom prst="rect">
                      <a:avLst/>
                    </a:prstGeom>
                    <a:noFill/>
                    <a:ln>
                      <a:noFill/>
                    </a:ln>
                  </pic:spPr>
                </pic:pic>
              </a:graphicData>
            </a:graphic>
          </wp:inline>
        </w:drawing>
      </w:r>
      <w:r>
        <w:rPr>
          <w:rFonts w:ascii="Arial" w:cs="Arial" w:eastAsia="Arial" w:hAnsi="Arial"/>
          <w:sz w:val="18"/>
          <w:szCs w:val="18"/>
          <w:color w:val="auto"/>
        </w:rPr>
        <w:t xml:space="preserve"> Filed by a Party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117475</wp:posOffset>
            </wp:positionV>
            <wp:extent cx="7132320" cy="1440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440180"/>
                    </a:xfrm>
                    <a:prstGeom prst="rect">
                      <a:avLst/>
                    </a:prstGeom>
                    <a:noFill/>
                  </pic:spPr>
                </pic:pic>
              </a:graphicData>
            </a:graphic>
          </wp:anchor>
        </w:drawing>
      </w:r>
    </w:p>
    <w:p>
      <w:pPr>
        <w:spacing w:after="0" w:line="17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8"/>
          <w:szCs w:val="18"/>
          <w:color w:val="auto"/>
        </w:rPr>
        <w:t>Preliminary Proxy Statement</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Confidential, for Use of the Commission Only (as permitted by Rule 14A-6(E)(2))</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Proxy Statement</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Definitive Additional Materials</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color w:val="auto"/>
        </w:rPr>
        <w:t>Soliciting Material under §240.14a-12</w:t>
      </w:r>
    </w:p>
    <w:p>
      <w:pPr>
        <w:spacing w:after="0" w:line="210" w:lineRule="exact"/>
        <w:rPr>
          <w:sz w:val="24"/>
          <w:szCs w:val="24"/>
          <w:color w:val="auto"/>
        </w:rPr>
      </w:pPr>
    </w:p>
    <w:p>
      <w:pPr>
        <w:ind w:left="3680"/>
        <w:spacing w:after="0"/>
        <w:rPr>
          <w:sz w:val="20"/>
          <w:szCs w:val="20"/>
          <w:color w:val="auto"/>
        </w:rPr>
      </w:pPr>
      <w:r>
        <w:rPr>
          <w:rFonts w:ascii="Arial" w:cs="Arial" w:eastAsia="Arial" w:hAnsi="Arial"/>
          <w:sz w:val="29"/>
          <w:szCs w:val="29"/>
          <w:b w:val="1"/>
          <w:bCs w:val="1"/>
          <w:color w:val="auto"/>
        </w:rPr>
        <w:t>HUBBELL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153035</wp:posOffset>
            </wp:positionV>
            <wp:extent cx="1697355" cy="711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711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198" w:lineRule="exact"/>
        <w:rPr>
          <w:sz w:val="24"/>
          <w:szCs w:val="24"/>
          <w:color w:val="auto"/>
        </w:rPr>
      </w:pPr>
    </w:p>
    <w:p>
      <w:pPr>
        <w:jc w:val="center"/>
        <w:ind w:right="-104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50800</wp:posOffset>
            </wp:positionV>
            <wp:extent cx="7132320" cy="942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942975"/>
                    </a:xfrm>
                    <a:prstGeom prst="rect">
                      <a:avLst/>
                    </a:prstGeom>
                    <a:noFill/>
                  </pic:spPr>
                </pic:pic>
              </a:graphicData>
            </a:graphic>
          </wp:anchor>
        </w:drawing>
      </w:r>
    </w:p>
    <w:p>
      <w:pPr>
        <w:spacing w:after="0" w:line="7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Payment of Filing Fee (Check all boxes that apply):</w:t>
      </w:r>
    </w:p>
    <w:p>
      <w:pPr>
        <w:spacing w:after="0" w:line="189"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No fee required.</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Fee paid previously with preliminary materials.</w:t>
      </w:r>
    </w:p>
    <w:p>
      <w:pPr>
        <w:spacing w:after="0" w:line="185"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180340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079"/>
          </w:cols>
          <w:pgMar w:left="380" w:top="229"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268605</wp:posOffset>
            </wp:positionV>
            <wp:extent cx="7132320" cy="9112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91122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260" w:right="4260"/>
        <w:spacing w:after="0" w:line="292" w:lineRule="auto"/>
        <w:rPr>
          <w:sz w:val="20"/>
          <w:szCs w:val="20"/>
          <w:color w:val="auto"/>
        </w:rPr>
      </w:pPr>
      <w:r>
        <w:rPr>
          <w:rFonts w:ascii="Arial" w:cs="Arial" w:eastAsia="Arial" w:hAnsi="Arial"/>
          <w:sz w:val="57"/>
          <w:szCs w:val="57"/>
          <w:color w:val="auto"/>
        </w:rPr>
        <w:t xml:space="preserve">Notice of 2026 Annual </w:t>
      </w:r>
      <w:r>
        <w:rPr>
          <w:rFonts w:ascii="Arial" w:cs="Arial" w:eastAsia="Arial" w:hAnsi="Arial"/>
          <w:sz w:val="57"/>
          <w:szCs w:val="57"/>
          <w:b w:val="1"/>
          <w:bCs w:val="1"/>
          <w:color w:val="auto"/>
        </w:rPr>
        <w:t>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-978535</wp:posOffset>
            </wp:positionV>
            <wp:extent cx="43180" cy="8401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180" cy="840105"/>
                    </a:xfrm>
                    <a:prstGeom prst="rect">
                      <a:avLst/>
                    </a:prstGeom>
                    <a:noFill/>
                  </pic:spPr>
                </pic:pic>
              </a:graphicData>
            </a:graphic>
          </wp:anchor>
        </w:drawing>
      </w:r>
    </w:p>
    <w:p>
      <w:pPr>
        <w:spacing w:after="0" w:line="57" w:lineRule="exact"/>
        <w:rPr>
          <w:sz w:val="20"/>
          <w:szCs w:val="20"/>
          <w:color w:val="auto"/>
        </w:rPr>
      </w:pPr>
    </w:p>
    <w:tbl>
      <w:tblPr>
        <w:tblLayout w:type="fixed"/>
        <w:tblInd w:w="700" w:type="dxa"/>
        <w:tblCellMar>
          <w:top w:w="0" w:type="dxa"/>
          <w:left w:w="0" w:type="dxa"/>
          <w:bottom w:w="0" w:type="dxa"/>
          <w:right w:w="0" w:type="dxa"/>
        </w:tblCellMar>
      </w:tblPr>
      <w:tr>
        <w:trPr>
          <w:trHeight w:val="189"/>
        </w:trPr>
        <w:tc>
          <w:tcPr>
            <w:tcW w:w="2700" w:type="dxa"/>
            <w:vAlign w:val="bottom"/>
          </w:tcPr>
          <w:p>
            <w:pPr>
              <w:spacing w:after="0"/>
              <w:rPr>
                <w:sz w:val="20"/>
                <w:szCs w:val="20"/>
                <w:color w:val="auto"/>
              </w:rPr>
            </w:pPr>
            <w:r>
              <w:rPr>
                <w:rFonts w:ascii="Arial" w:cs="Arial" w:eastAsia="Arial" w:hAnsi="Arial"/>
                <w:sz w:val="16"/>
                <w:szCs w:val="16"/>
                <w:b w:val="1"/>
                <w:bCs w:val="1"/>
                <w:color w:val="auto"/>
              </w:rPr>
              <w:t>Date and Time</w:t>
            </w:r>
          </w:p>
        </w:tc>
        <w:tc>
          <w:tcPr>
            <w:tcW w:w="3740" w:type="dxa"/>
            <w:vAlign w:val="bottom"/>
          </w:tcPr>
          <w:p>
            <w:pPr>
              <w:ind w:left="1080"/>
              <w:spacing w:after="0"/>
              <w:rPr>
                <w:sz w:val="20"/>
                <w:szCs w:val="20"/>
                <w:color w:val="auto"/>
              </w:rPr>
            </w:pPr>
            <w:r>
              <w:rPr>
                <w:rFonts w:ascii="Arial" w:cs="Arial" w:eastAsia="Arial" w:hAnsi="Arial"/>
                <w:sz w:val="16"/>
                <w:szCs w:val="16"/>
                <w:b w:val="1"/>
                <w:bCs w:val="1"/>
                <w:color w:val="auto"/>
              </w:rPr>
              <w:t>Location</w:t>
            </w:r>
          </w:p>
        </w:tc>
        <w:tc>
          <w:tcPr>
            <w:tcW w:w="2220" w:type="dxa"/>
            <w:vAlign w:val="bottom"/>
          </w:tcPr>
          <w:p>
            <w:pPr>
              <w:ind w:left="1180"/>
              <w:spacing w:after="0"/>
              <w:rPr>
                <w:sz w:val="20"/>
                <w:szCs w:val="20"/>
                <w:color w:val="auto"/>
              </w:rPr>
            </w:pPr>
            <w:r>
              <w:rPr>
                <w:rFonts w:ascii="Arial" w:cs="Arial" w:eastAsia="Arial" w:hAnsi="Arial"/>
                <w:sz w:val="16"/>
                <w:szCs w:val="16"/>
                <w:b w:val="1"/>
                <w:bCs w:val="1"/>
                <w:color w:val="auto"/>
              </w:rPr>
              <w:t>Record Date</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Tuesday, May 5, 2026,</w:t>
            </w:r>
          </w:p>
        </w:tc>
        <w:tc>
          <w:tcPr>
            <w:tcW w:w="3740" w:type="dxa"/>
            <w:vAlign w:val="bottom"/>
          </w:tcPr>
          <w:p>
            <w:pPr>
              <w:ind w:left="1080"/>
              <w:spacing w:after="0"/>
              <w:rPr>
                <w:sz w:val="20"/>
                <w:szCs w:val="20"/>
                <w:color w:val="auto"/>
              </w:rPr>
            </w:pPr>
            <w:r>
              <w:rPr>
                <w:rFonts w:ascii="Arial" w:cs="Arial" w:eastAsia="Arial" w:hAnsi="Arial"/>
                <w:sz w:val="16"/>
                <w:szCs w:val="16"/>
                <w:color w:val="auto"/>
              </w:rPr>
              <w:t>Hubbell Incorporated</w:t>
            </w:r>
          </w:p>
        </w:tc>
        <w:tc>
          <w:tcPr>
            <w:tcW w:w="2220" w:type="dxa"/>
            <w:vAlign w:val="bottom"/>
          </w:tcPr>
          <w:p>
            <w:pPr>
              <w:ind w:left="1180"/>
              <w:spacing w:after="0"/>
              <w:rPr>
                <w:sz w:val="20"/>
                <w:szCs w:val="20"/>
                <w:color w:val="auto"/>
              </w:rPr>
            </w:pPr>
            <w:r>
              <w:rPr>
                <w:rFonts w:ascii="Arial" w:cs="Arial" w:eastAsia="Arial" w:hAnsi="Arial"/>
                <w:sz w:val="16"/>
                <w:szCs w:val="16"/>
                <w:color w:val="auto"/>
                <w:w w:val="99"/>
              </w:rPr>
              <w:t>March 6, 2026</w:t>
            </w:r>
          </w:p>
        </w:tc>
      </w:tr>
      <w:tr>
        <w:trPr>
          <w:trHeight w:val="189"/>
        </w:trPr>
        <w:tc>
          <w:tcPr>
            <w:tcW w:w="2700" w:type="dxa"/>
            <w:vAlign w:val="bottom"/>
          </w:tcPr>
          <w:p>
            <w:pPr>
              <w:spacing w:after="0"/>
              <w:rPr>
                <w:sz w:val="20"/>
                <w:szCs w:val="20"/>
                <w:color w:val="auto"/>
              </w:rPr>
            </w:pPr>
            <w:r>
              <w:rPr>
                <w:rFonts w:ascii="Arial" w:cs="Arial" w:eastAsia="Arial" w:hAnsi="Arial"/>
                <w:sz w:val="16"/>
                <w:szCs w:val="16"/>
                <w:color w:val="auto"/>
              </w:rPr>
              <w:t>at 9:00 a.m.</w:t>
            </w:r>
          </w:p>
        </w:tc>
        <w:tc>
          <w:tcPr>
            <w:tcW w:w="3740" w:type="dxa"/>
            <w:vAlign w:val="bottom"/>
          </w:tcPr>
          <w:p>
            <w:pPr>
              <w:ind w:left="1080"/>
              <w:spacing w:after="0"/>
              <w:rPr>
                <w:sz w:val="20"/>
                <w:szCs w:val="20"/>
                <w:color w:val="auto"/>
              </w:rPr>
            </w:pPr>
            <w:r>
              <w:rPr>
                <w:rFonts w:ascii="Arial" w:cs="Arial" w:eastAsia="Arial" w:hAnsi="Arial"/>
                <w:sz w:val="16"/>
                <w:szCs w:val="16"/>
                <w:color w:val="auto"/>
              </w:rPr>
              <w:t>40 Waterview Drive</w:t>
            </w:r>
          </w:p>
        </w:tc>
        <w:tc>
          <w:tcPr>
            <w:tcW w:w="2220" w:type="dxa"/>
            <w:vAlign w:val="bottom"/>
          </w:tcPr>
          <w:p>
            <w:pPr>
              <w:spacing w:after="0"/>
              <w:rPr>
                <w:sz w:val="16"/>
                <w:szCs w:val="16"/>
                <w:color w:val="auto"/>
              </w:rPr>
            </w:pPr>
          </w:p>
        </w:tc>
      </w:tr>
      <w:tr>
        <w:trPr>
          <w:trHeight w:val="215"/>
        </w:trPr>
        <w:tc>
          <w:tcPr>
            <w:tcW w:w="2700" w:type="dxa"/>
            <w:vAlign w:val="bottom"/>
          </w:tcPr>
          <w:p>
            <w:pPr>
              <w:spacing w:after="0"/>
              <w:rPr>
                <w:sz w:val="18"/>
                <w:szCs w:val="18"/>
                <w:color w:val="auto"/>
              </w:rPr>
            </w:pPr>
          </w:p>
        </w:tc>
        <w:tc>
          <w:tcPr>
            <w:tcW w:w="3740" w:type="dxa"/>
            <w:vAlign w:val="bottom"/>
          </w:tcPr>
          <w:p>
            <w:pPr>
              <w:ind w:left="1080"/>
              <w:spacing w:after="0"/>
              <w:rPr>
                <w:sz w:val="20"/>
                <w:szCs w:val="20"/>
                <w:color w:val="auto"/>
              </w:rPr>
            </w:pPr>
            <w:r>
              <w:rPr>
                <w:rFonts w:ascii="Arial" w:cs="Arial" w:eastAsia="Arial" w:hAnsi="Arial"/>
                <w:sz w:val="16"/>
                <w:szCs w:val="16"/>
                <w:color w:val="auto"/>
              </w:rPr>
              <w:t>Shelton, CT 06484</w:t>
            </w:r>
          </w:p>
        </w:tc>
        <w:tc>
          <w:tcPr>
            <w:tcW w:w="22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20916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p>
      <w:pPr>
        <w:spacing w:after="0" w:line="218" w:lineRule="exact"/>
        <w:rPr>
          <w:sz w:val="20"/>
          <w:szCs w:val="20"/>
          <w:color w:val="auto"/>
        </w:rPr>
      </w:pPr>
    </w:p>
    <w:tbl>
      <w:tblPr>
        <w:tblLayout w:type="fixed"/>
        <w:tblInd w:w="180" w:type="dxa"/>
        <w:tblCellMar>
          <w:top w:w="0" w:type="dxa"/>
          <w:left w:w="0" w:type="dxa"/>
          <w:bottom w:w="0" w:type="dxa"/>
          <w:right w:w="0" w:type="dxa"/>
        </w:tblCellMar>
      </w:tblPr>
      <w:tr>
        <w:trPr>
          <w:trHeight w:val="674"/>
        </w:trPr>
        <w:tc>
          <w:tcPr>
            <w:tcW w:w="2660" w:type="dxa"/>
            <w:vAlign w:val="bottom"/>
            <w:tcBorders>
              <w:right w:val="single" w:sz="8" w:color="auto"/>
            </w:tcBorders>
            <w:vMerge w:val="restart"/>
          </w:tcPr>
          <w:p>
            <w:pPr>
              <w:spacing w:after="0"/>
              <w:rPr>
                <w:sz w:val="20"/>
                <w:szCs w:val="20"/>
                <w:color w:val="auto"/>
              </w:rPr>
            </w:pPr>
            <w:r>
              <w:rPr>
                <w:rFonts w:ascii="Arial" w:cs="Arial" w:eastAsia="Arial" w:hAnsi="Arial"/>
                <w:sz w:val="22"/>
                <w:szCs w:val="22"/>
                <w:b w:val="1"/>
                <w:bCs w:val="1"/>
                <w:color w:val="auto"/>
              </w:rPr>
              <w:t>Item of Business</w:t>
            </w:r>
          </w:p>
        </w:tc>
        <w:tc>
          <w:tcPr>
            <w:tcW w:w="2840" w:type="dxa"/>
            <w:vAlign w:val="bottom"/>
            <w:tcBorders>
              <w:right w:val="single" w:sz="8" w:color="auto"/>
            </w:tcBorders>
          </w:tcPr>
          <w:p>
            <w:pPr>
              <w:ind w:left="180"/>
              <w:spacing w:after="0"/>
              <w:rPr>
                <w:sz w:val="20"/>
                <w:szCs w:val="20"/>
                <w:color w:val="auto"/>
              </w:rPr>
            </w:pPr>
            <w:r>
              <w:rPr>
                <w:rFonts w:ascii="Arial" w:cs="Arial" w:eastAsia="Arial" w:hAnsi="Arial"/>
                <w:sz w:val="47"/>
                <w:szCs w:val="47"/>
                <w:b w:val="1"/>
                <w:bCs w:val="1"/>
                <w:color w:val="auto"/>
              </w:rPr>
              <w:t>1</w:t>
            </w:r>
          </w:p>
        </w:tc>
        <w:tc>
          <w:tcPr>
            <w:tcW w:w="2560" w:type="dxa"/>
            <w:vAlign w:val="bottom"/>
          </w:tcPr>
          <w:p>
            <w:pPr>
              <w:ind w:left="160"/>
              <w:spacing w:after="0"/>
              <w:rPr>
                <w:sz w:val="20"/>
                <w:szCs w:val="20"/>
                <w:color w:val="auto"/>
              </w:rPr>
            </w:pPr>
            <w:r>
              <w:rPr>
                <w:rFonts w:ascii="Arial" w:cs="Arial" w:eastAsia="Arial" w:hAnsi="Arial"/>
                <w:sz w:val="47"/>
                <w:szCs w:val="47"/>
                <w:b w:val="1"/>
                <w:bCs w:val="1"/>
                <w:color w:val="auto"/>
              </w:rPr>
              <w:t>2</w:t>
            </w:r>
          </w:p>
        </w:tc>
        <w:tc>
          <w:tcPr>
            <w:tcW w:w="0" w:type="dxa"/>
            <w:vAlign w:val="bottom"/>
          </w:tcPr>
          <w:p>
            <w:pPr>
              <w:spacing w:after="0"/>
              <w:rPr>
                <w:sz w:val="1"/>
                <w:szCs w:val="1"/>
                <w:color w:val="auto"/>
              </w:rPr>
            </w:pPr>
          </w:p>
        </w:tc>
      </w:tr>
      <w:tr>
        <w:trPr>
          <w:trHeight w:val="190"/>
        </w:trPr>
        <w:tc>
          <w:tcPr>
            <w:tcW w:w="2660" w:type="dxa"/>
            <w:vAlign w:val="bottom"/>
            <w:tcBorders>
              <w:right w:val="single" w:sz="8" w:color="auto"/>
            </w:tcBorders>
            <w:vMerge w:val="continue"/>
          </w:tcPr>
          <w:p>
            <w:pPr>
              <w:spacing w:after="0"/>
              <w:rPr>
                <w:sz w:val="16"/>
                <w:szCs w:val="16"/>
                <w:color w:val="auto"/>
              </w:rPr>
            </w:pPr>
          </w:p>
        </w:tc>
        <w:tc>
          <w:tcPr>
            <w:tcW w:w="28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Election of Directors.</w:t>
            </w:r>
          </w:p>
        </w:tc>
        <w:tc>
          <w:tcPr>
            <w:tcW w:w="2560" w:type="dxa"/>
            <w:vAlign w:val="bottom"/>
          </w:tcPr>
          <w:p>
            <w:pPr>
              <w:ind w:left="160"/>
              <w:spacing w:after="0"/>
              <w:rPr>
                <w:sz w:val="20"/>
                <w:szCs w:val="20"/>
                <w:color w:val="auto"/>
              </w:rPr>
            </w:pPr>
            <w:r>
              <w:rPr>
                <w:rFonts w:ascii="Arial" w:cs="Arial" w:eastAsia="Arial" w:hAnsi="Arial"/>
                <w:sz w:val="16"/>
                <w:szCs w:val="16"/>
                <w:color w:val="auto"/>
              </w:rPr>
              <w:t>Approve, by an advisory vote, the</w:t>
            </w:r>
          </w:p>
        </w:tc>
        <w:tc>
          <w:tcPr>
            <w:tcW w:w="0" w:type="dxa"/>
            <w:vAlign w:val="bottom"/>
          </w:tcPr>
          <w:p>
            <w:pPr>
              <w:spacing w:after="0"/>
              <w:rPr>
                <w:sz w:val="1"/>
                <w:szCs w:val="1"/>
                <w:color w:val="auto"/>
              </w:rPr>
            </w:pPr>
          </w:p>
        </w:tc>
      </w:tr>
      <w:tr>
        <w:trPr>
          <w:trHeight w:val="189"/>
        </w:trPr>
        <w:tc>
          <w:tcPr>
            <w:tcW w:w="2660" w:type="dxa"/>
            <w:vAlign w:val="bottom"/>
            <w:tcBorders>
              <w:right w:val="single" w:sz="8" w:color="auto"/>
            </w:tcBorders>
          </w:tcPr>
          <w:p>
            <w:pPr>
              <w:spacing w:after="0"/>
              <w:rPr>
                <w:sz w:val="16"/>
                <w:szCs w:val="16"/>
                <w:color w:val="auto"/>
              </w:rPr>
            </w:pPr>
          </w:p>
        </w:tc>
        <w:tc>
          <w:tcPr>
            <w:tcW w:w="2840" w:type="dxa"/>
            <w:vAlign w:val="bottom"/>
            <w:tcBorders>
              <w:right w:val="single" w:sz="8" w:color="auto"/>
            </w:tcBorders>
          </w:tcPr>
          <w:p>
            <w:pPr>
              <w:spacing w:after="0"/>
              <w:rPr>
                <w:sz w:val="16"/>
                <w:szCs w:val="16"/>
                <w:color w:val="auto"/>
              </w:rPr>
            </w:pPr>
          </w:p>
        </w:tc>
        <w:tc>
          <w:tcPr>
            <w:tcW w:w="2560" w:type="dxa"/>
            <w:vAlign w:val="bottom"/>
          </w:tcPr>
          <w:p>
            <w:pPr>
              <w:ind w:left="160"/>
              <w:spacing w:after="0"/>
              <w:rPr>
                <w:sz w:val="20"/>
                <w:szCs w:val="20"/>
                <w:color w:val="auto"/>
              </w:rPr>
            </w:pPr>
            <w:r>
              <w:rPr>
                <w:rFonts w:ascii="Arial" w:cs="Arial" w:eastAsia="Arial" w:hAnsi="Arial"/>
                <w:sz w:val="16"/>
                <w:szCs w:val="16"/>
                <w:color w:val="auto"/>
              </w:rPr>
              <w:t>compensation of the Named</w:t>
            </w:r>
          </w:p>
        </w:tc>
        <w:tc>
          <w:tcPr>
            <w:tcW w:w="0" w:type="dxa"/>
            <w:vAlign w:val="bottom"/>
          </w:tcPr>
          <w:p>
            <w:pPr>
              <w:spacing w:after="0"/>
              <w:rPr>
                <w:sz w:val="1"/>
                <w:szCs w:val="1"/>
                <w:color w:val="auto"/>
              </w:rPr>
            </w:pPr>
          </w:p>
        </w:tc>
      </w:tr>
      <w:tr>
        <w:trPr>
          <w:trHeight w:val="215"/>
        </w:trPr>
        <w:tc>
          <w:tcPr>
            <w:tcW w:w="266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spacing w:after="0"/>
              <w:rPr>
                <w:sz w:val="18"/>
                <w:szCs w:val="18"/>
                <w:color w:val="auto"/>
              </w:rPr>
            </w:pPr>
          </w:p>
        </w:tc>
        <w:tc>
          <w:tcPr>
            <w:tcW w:w="2560" w:type="dxa"/>
            <w:vAlign w:val="bottom"/>
          </w:tcPr>
          <w:p>
            <w:pPr>
              <w:ind w:left="160"/>
              <w:spacing w:after="0"/>
              <w:rPr>
                <w:sz w:val="20"/>
                <w:szCs w:val="20"/>
                <w:color w:val="auto"/>
              </w:rPr>
            </w:pPr>
            <w:r>
              <w:rPr>
                <w:rFonts w:ascii="Arial" w:cs="Arial" w:eastAsia="Arial" w:hAnsi="Arial"/>
                <w:sz w:val="16"/>
                <w:szCs w:val="16"/>
                <w:color w:val="auto"/>
              </w:rPr>
              <w:t>Executive Officers.</w:t>
            </w:r>
          </w:p>
        </w:tc>
        <w:tc>
          <w:tcPr>
            <w:tcW w:w="0" w:type="dxa"/>
            <w:vAlign w:val="bottom"/>
          </w:tcPr>
          <w:p>
            <w:pPr>
              <w:spacing w:after="0"/>
              <w:rPr>
                <w:sz w:val="1"/>
                <w:szCs w:val="1"/>
                <w:color w:val="auto"/>
              </w:rPr>
            </w:pPr>
          </w:p>
        </w:tc>
      </w:tr>
      <w:tr>
        <w:trPr>
          <w:trHeight w:val="514"/>
        </w:trPr>
        <w:tc>
          <w:tcPr>
            <w:tcW w:w="2660" w:type="dxa"/>
            <w:vAlign w:val="bottom"/>
            <w:tcBorders>
              <w:right w:val="single" w:sz="8" w:color="auto"/>
            </w:tcBorders>
          </w:tcPr>
          <w:p>
            <w:pPr>
              <w:spacing w:after="0"/>
              <w:rPr>
                <w:sz w:val="24"/>
                <w:szCs w:val="24"/>
                <w:color w:val="auto"/>
              </w:rPr>
            </w:pPr>
          </w:p>
        </w:tc>
        <w:tc>
          <w:tcPr>
            <w:tcW w:w="2840" w:type="dxa"/>
            <w:vAlign w:val="bottom"/>
            <w:tcBorders>
              <w:right w:val="single" w:sz="8" w:color="auto"/>
            </w:tcBorders>
          </w:tcPr>
          <w:p>
            <w:pPr>
              <w:ind w:left="180"/>
              <w:spacing w:after="0"/>
              <w:rPr>
                <w:sz w:val="20"/>
                <w:szCs w:val="20"/>
                <w:color w:val="auto"/>
              </w:rPr>
            </w:pPr>
            <w:r>
              <w:rPr>
                <w:rFonts w:ascii="Arial" w:cs="Arial" w:eastAsia="Arial" w:hAnsi="Arial"/>
                <w:sz w:val="16"/>
                <w:szCs w:val="16"/>
                <w:b w:val="1"/>
                <w:bCs w:val="1"/>
                <w:color w:val="auto"/>
              </w:rPr>
              <w:t>FOR</w:t>
            </w: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66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Board’s Voting Recommendation</w:t>
            </w:r>
          </w:p>
        </w:tc>
        <w:tc>
          <w:tcPr>
            <w:tcW w:w="28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each</w:t>
            </w:r>
          </w:p>
        </w:tc>
        <w:tc>
          <w:tcPr>
            <w:tcW w:w="2560" w:type="dxa"/>
            <w:vAlign w:val="bottom"/>
          </w:tcPr>
          <w:p>
            <w:pPr>
              <w:ind w:left="160"/>
              <w:spacing w:after="0"/>
              <w:rPr>
                <w:sz w:val="20"/>
                <w:szCs w:val="20"/>
                <w:color w:val="auto"/>
              </w:rPr>
            </w:pPr>
            <w:r>
              <w:rPr>
                <w:rFonts w:ascii="Arial" w:cs="Arial" w:eastAsia="Arial" w:hAnsi="Arial"/>
                <w:sz w:val="16"/>
                <w:szCs w:val="16"/>
                <w:b w:val="1"/>
                <w:bCs w:val="1"/>
                <w:color w:val="auto"/>
              </w:rPr>
              <w:t>FOR</w:t>
            </w:r>
          </w:p>
        </w:tc>
        <w:tc>
          <w:tcPr>
            <w:tcW w:w="0" w:type="dxa"/>
            <w:vAlign w:val="bottom"/>
          </w:tcPr>
          <w:p>
            <w:pPr>
              <w:spacing w:after="0"/>
              <w:rPr>
                <w:sz w:val="1"/>
                <w:szCs w:val="1"/>
                <w:color w:val="auto"/>
              </w:rPr>
            </w:pPr>
          </w:p>
        </w:tc>
      </w:tr>
      <w:tr>
        <w:trPr>
          <w:trHeight w:val="215"/>
        </w:trPr>
        <w:tc>
          <w:tcPr>
            <w:tcW w:w="266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tcPr>
          <w:p>
            <w:pPr>
              <w:ind w:left="180"/>
              <w:spacing w:after="0"/>
              <w:rPr>
                <w:sz w:val="20"/>
                <w:szCs w:val="20"/>
                <w:color w:val="auto"/>
              </w:rPr>
            </w:pPr>
            <w:r>
              <w:rPr>
                <w:rFonts w:ascii="Arial" w:cs="Arial" w:eastAsia="Arial" w:hAnsi="Arial"/>
                <w:sz w:val="16"/>
                <w:szCs w:val="16"/>
                <w:color w:val="auto"/>
              </w:rPr>
              <w:t>Nominee</w:t>
            </w:r>
          </w:p>
        </w:tc>
        <w:tc>
          <w:tcPr>
            <w:tcW w:w="2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660" w:type="dxa"/>
            <w:vAlign w:val="bottom"/>
            <w:tcBorders>
              <w:right w:val="single" w:sz="8" w:color="auto"/>
            </w:tcBorders>
          </w:tcPr>
          <w:p>
            <w:pPr>
              <w:spacing w:after="0"/>
              <w:rPr>
                <w:sz w:val="10"/>
                <w:szCs w:val="10"/>
                <w:color w:val="auto"/>
              </w:rPr>
            </w:pPr>
          </w:p>
        </w:tc>
        <w:tc>
          <w:tcPr>
            <w:tcW w:w="2840" w:type="dxa"/>
            <w:vAlign w:val="bottom"/>
            <w:tcBorders>
              <w:right w:val="single" w:sz="8" w:color="auto"/>
            </w:tcBorders>
          </w:tcPr>
          <w:p>
            <w:pPr>
              <w:spacing w:after="0"/>
              <w:rPr>
                <w:sz w:val="10"/>
                <w:szCs w:val="10"/>
                <w:color w:val="auto"/>
              </w:rPr>
            </w:pPr>
          </w:p>
        </w:tc>
        <w:tc>
          <w:tcPr>
            <w:tcW w:w="25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47"/>
          <w:szCs w:val="47"/>
          <w:b w:val="1"/>
          <w:bCs w:val="1"/>
          <w:color w:val="auto"/>
        </w:rPr>
        <w:t>3</w:t>
      </w:r>
    </w:p>
    <w:p>
      <w:pPr>
        <w:spacing w:after="0" w:line="106"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Ratify the selection of PricewaterhouseCoopers LLP as our independent registered public accounting firm for 2026.</w:t>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t>
      </w:r>
    </w:p>
    <w:p>
      <w:pPr>
        <w:spacing w:after="0" w:line="518" w:lineRule="exact"/>
        <w:rPr>
          <w:sz w:val="20"/>
          <w:szCs w:val="20"/>
          <w:color w:val="auto"/>
        </w:rPr>
      </w:pPr>
    </w:p>
    <w:p>
      <w:pPr>
        <w:sectPr>
          <w:pgSz w:w="11900" w:h="16838" w:orient="portrait"/>
          <w:cols w:equalWidth="0" w:num="2">
            <w:col w:w="8240" w:space="400"/>
            <w:col w:w="2600"/>
          </w:cols>
          <w:pgMar w:left="320" w:top="370" w:right="339" w:bottom="1440" w:gutter="0" w:footer="0" w:header="0"/>
          <w:type w:val="continuous"/>
        </w:sectPr>
      </w:pPr>
    </w:p>
    <w:p>
      <w:pPr>
        <w:spacing w:after="0"/>
        <w:rPr>
          <w:sz w:val="20"/>
          <w:szCs w:val="20"/>
          <w:color w:val="auto"/>
        </w:rPr>
      </w:pPr>
      <w:r>
        <w:rPr>
          <w:rFonts w:ascii="Arial" w:cs="Arial" w:eastAsia="Arial" w:hAnsi="Arial"/>
          <w:sz w:val="16"/>
          <w:szCs w:val="16"/>
          <w:color w:val="auto"/>
        </w:rPr>
        <w:t>In addition, any other business properly presented may be acted upon at the meeting.</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Your proxy is being solicited for the 2026 Annual Meeting of Shareholders (the “Annual Meeting”) of Hubbell Incorporated (“Hubbell” or the “Company”), or any adjournment, continuation, or postponement of the Annual Meeting, on behalf of Hubbell’s Board of Directors (the “Board”). On or around March 23, 2026, we mailed a Notice of Internet Availability of Proxy Materials to all shareholders of record advising that they could view all of our proxy materials (Proxy Statement, proxy card, and Annual Report on Form 10-K) online at www.proxyvote.com, or request a paper or email copy of the proxy materials, free of charge.</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If you were a shareholder of record at the close of business on March 6, 2026, you are entitled to notice of and to vote at the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242695" cy="3683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269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Katherine A. Lane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General Counsel and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March 23, 2026</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How to vote</w:t>
      </w:r>
    </w:p>
    <w:p>
      <w:pPr>
        <w:spacing w:after="0" w:line="2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Your vote is important. Please vote as soon as possible by one of the methods shown below. Make sure to have your proxy card, voting instruction form, or Notice of Internet Availability in hand and follow the instructions.</w:t>
      </w:r>
    </w:p>
    <w:p>
      <w:pPr>
        <w:sectPr>
          <w:pgSz w:w="11900" w:h="16838" w:orient="portrait"/>
          <w:cols w:equalWidth="0" w:num="1">
            <w:col w:w="11240"/>
          </w:cols>
          <w:pgMar w:left="320" w:top="370" w:right="339" w:bottom="1440" w:gutter="0" w:footer="0" w:header="0"/>
          <w:type w:val="continuous"/>
        </w:sectPr>
      </w:pPr>
    </w:p>
    <w:p>
      <w:pPr>
        <w:spacing w:after="0" w:line="145" w:lineRule="exact"/>
        <w:rPr>
          <w:sz w:val="20"/>
          <w:szCs w:val="20"/>
          <w:color w:val="auto"/>
        </w:rPr>
      </w:pPr>
    </w:p>
    <w:p>
      <w:pPr>
        <w:ind w:left="640"/>
        <w:spacing w:after="0"/>
        <w:tabs>
          <w:tab w:leader="none" w:pos="4000" w:val="left"/>
        </w:tabs>
        <w:rPr>
          <w:sz w:val="20"/>
          <w:szCs w:val="20"/>
          <w:color w:val="auto"/>
        </w:rPr>
      </w:pPr>
      <w:r>
        <w:rPr>
          <w:rFonts w:ascii="Arial" w:cs="Arial" w:eastAsia="Arial" w:hAnsi="Arial"/>
          <w:sz w:val="16"/>
          <w:szCs w:val="16"/>
          <w:b w:val="1"/>
          <w:bCs w:val="1"/>
          <w:color w:val="auto"/>
        </w:rPr>
        <w:t>By Telephone</w:t>
      </w:r>
      <w:r>
        <w:rPr>
          <w:sz w:val="20"/>
          <w:szCs w:val="20"/>
          <w:color w:val="auto"/>
        </w:rPr>
        <w:tab/>
      </w:r>
      <w:r>
        <w:rPr>
          <w:rFonts w:ascii="Arial" w:cs="Arial" w:eastAsia="Arial" w:hAnsi="Arial"/>
          <w:sz w:val="16"/>
          <w:szCs w:val="16"/>
          <w:b w:val="1"/>
          <w:bCs w:val="1"/>
          <w:color w:val="auto"/>
        </w:rPr>
        <w:t>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2900" cy="342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-107315</wp:posOffset>
            </wp:positionV>
            <wp:extent cx="342900" cy="3429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1" w:lineRule="exact"/>
        <w:rPr>
          <w:sz w:val="20"/>
          <w:szCs w:val="20"/>
          <w:color w:val="auto"/>
        </w:rPr>
      </w:pPr>
    </w:p>
    <w:p>
      <w:pPr>
        <w:ind w:left="640"/>
        <w:spacing w:after="0"/>
        <w:tabs>
          <w:tab w:leader="none" w:pos="4000" w:val="left"/>
        </w:tabs>
        <w:rPr>
          <w:sz w:val="20"/>
          <w:szCs w:val="20"/>
          <w:color w:val="auto"/>
        </w:rPr>
      </w:pPr>
      <w:r>
        <w:rPr>
          <w:rFonts w:ascii="Arial" w:cs="Arial" w:eastAsia="Arial" w:hAnsi="Arial"/>
          <w:sz w:val="16"/>
          <w:szCs w:val="16"/>
          <w:color w:val="auto"/>
        </w:rPr>
        <w:t>Vote your shares by calling</w:t>
      </w:r>
      <w:r>
        <w:rPr>
          <w:sz w:val="20"/>
          <w:szCs w:val="20"/>
          <w:color w:val="auto"/>
        </w:rPr>
        <w:tab/>
      </w:r>
      <w:r>
        <w:rPr>
          <w:rFonts w:ascii="Arial" w:cs="Arial" w:eastAsia="Arial" w:hAnsi="Arial"/>
          <w:sz w:val="16"/>
          <w:szCs w:val="16"/>
          <w:color w:val="auto"/>
        </w:rPr>
        <w:t>Vote your shares online at</w:t>
      </w:r>
    </w:p>
    <w:p>
      <w:pPr>
        <w:spacing w:after="0" w:line="5" w:lineRule="exact"/>
        <w:rPr>
          <w:sz w:val="20"/>
          <w:szCs w:val="20"/>
          <w:color w:val="auto"/>
        </w:rPr>
      </w:pPr>
    </w:p>
    <w:p>
      <w:pPr>
        <w:ind w:left="640"/>
        <w:spacing w:after="0"/>
        <w:tabs>
          <w:tab w:leader="none" w:pos="4000" w:val="left"/>
        </w:tabs>
        <w:rPr>
          <w:sz w:val="20"/>
          <w:szCs w:val="20"/>
          <w:color w:val="auto"/>
        </w:rPr>
      </w:pPr>
      <w:r>
        <w:rPr>
          <w:rFonts w:ascii="Arial" w:cs="Arial" w:eastAsia="Arial" w:hAnsi="Arial"/>
          <w:sz w:val="16"/>
          <w:szCs w:val="16"/>
          <w:color w:val="auto"/>
        </w:rPr>
        <w:t>1-800-690-6903 toll-free.</w:t>
      </w:r>
      <w:r>
        <w:rPr>
          <w:sz w:val="20"/>
          <w:szCs w:val="20"/>
          <w:color w:val="auto"/>
        </w:rPr>
        <w:tab/>
      </w:r>
      <w:r>
        <w:rPr>
          <w:rFonts w:ascii="Arial" w:cs="Arial" w:eastAsia="Arial" w:hAnsi="Arial"/>
          <w:sz w:val="15"/>
          <w:szCs w:val="15"/>
          <w:b w:val="1"/>
          <w:bCs w:val="1"/>
          <w:color w:val="auto"/>
        </w:rPr>
        <w:t>www.proxyvote.com.</w:t>
      </w:r>
    </w:p>
    <w:p>
      <w:pPr>
        <w:spacing w:after="0" w:line="367"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42900" cy="342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0" cy="342900"/>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-107315</wp:posOffset>
            </wp:positionV>
            <wp:extent cx="3429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1" w:lineRule="exact"/>
        <w:rPr>
          <w:sz w:val="20"/>
          <w:szCs w:val="20"/>
          <w:color w:val="auto"/>
        </w:rPr>
      </w:pPr>
    </w:p>
    <w:p>
      <w:pPr>
        <w:ind w:left="700" w:right="480"/>
        <w:spacing w:after="0" w:line="252" w:lineRule="auto"/>
        <w:rPr>
          <w:sz w:val="20"/>
          <w:szCs w:val="20"/>
          <w:color w:val="auto"/>
        </w:rPr>
      </w:pPr>
      <w:r>
        <w:rPr>
          <w:rFonts w:ascii="Arial" w:cs="Arial" w:eastAsia="Arial" w:hAnsi="Arial"/>
          <w:sz w:val="16"/>
          <w:szCs w:val="16"/>
          <w:color w:val="auto"/>
        </w:rPr>
        <w:t>Shareholders who attend the Annual Meeting may vote in person. Beneficial owners of shares must obtain a legal proxy from their broker, bank, or record holder and present it to the inspectors of election to be able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ind w:left="1220"/>
        <w:spacing w:after="0"/>
        <w:rPr>
          <w:sz w:val="20"/>
          <w:szCs w:val="20"/>
          <w:color w:val="auto"/>
        </w:rPr>
      </w:pPr>
      <w:r>
        <w:rPr>
          <w:rFonts w:ascii="Arial" w:cs="Arial" w:eastAsia="Arial" w:hAnsi="Arial"/>
          <w:sz w:val="16"/>
          <w:szCs w:val="16"/>
          <w:b w:val="1"/>
          <w:bCs w:val="1"/>
          <w:color w:val="auto"/>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-107315</wp:posOffset>
            </wp:positionV>
            <wp:extent cx="34290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0" cy="342900"/>
                    </a:xfrm>
                    <a:prstGeom prst="rect">
                      <a:avLst/>
                    </a:prstGeom>
                    <a:noFill/>
                  </pic:spPr>
                </pic:pic>
              </a:graphicData>
            </a:graphic>
          </wp:anchor>
        </w:drawing>
      </w:r>
    </w:p>
    <w:p>
      <w:pPr>
        <w:spacing w:after="0" w:line="1" w:lineRule="exact"/>
        <w:rPr>
          <w:sz w:val="20"/>
          <w:szCs w:val="20"/>
          <w:color w:val="auto"/>
        </w:rPr>
      </w:pPr>
    </w:p>
    <w:p>
      <w:pPr>
        <w:ind w:left="1220" w:right="340"/>
        <w:spacing w:after="0" w:line="256" w:lineRule="auto"/>
        <w:rPr>
          <w:sz w:val="20"/>
          <w:szCs w:val="20"/>
          <w:color w:val="auto"/>
        </w:rPr>
      </w:pPr>
      <w:r>
        <w:rPr>
          <w:rFonts w:ascii="Arial" w:cs="Arial" w:eastAsia="Arial" w:hAnsi="Arial"/>
          <w:sz w:val="16"/>
          <w:szCs w:val="16"/>
          <w:color w:val="auto"/>
        </w:rPr>
        <w:t>If you requested a paper copy of the proxy materials, complete, sign, date and return your proxy card in the prepaid envelope.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Scanning</w:t>
      </w:r>
    </w:p>
    <w:p>
      <w:pPr>
        <w:spacing w:after="0" w:line="21"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You can vote your shares online by scanning the QR code on your proxy card. You will need the 16-digit control number on your proxy card.</w:t>
      </w:r>
    </w:p>
    <w:p>
      <w:pPr>
        <w:spacing w:after="0" w:line="383" w:lineRule="exact"/>
        <w:rPr>
          <w:sz w:val="20"/>
          <w:szCs w:val="20"/>
          <w:color w:val="auto"/>
        </w:rPr>
      </w:pPr>
    </w:p>
    <w:p>
      <w:pPr>
        <w:sectPr>
          <w:pgSz w:w="11900" w:h="16838" w:orient="portrait"/>
          <w:cols w:equalWidth="0" w:num="2">
            <w:col w:w="5880" w:space="440"/>
            <w:col w:w="4920"/>
          </w:cols>
          <w:pgMar w:left="320" w:top="370" w:right="339" w:bottom="1440" w:gutter="0" w:footer="0" w:header="0"/>
          <w:type w:val="continuous"/>
        </w:sectPr>
      </w:pPr>
    </w:p>
    <w:p>
      <w:pPr>
        <w:spacing w:after="0" w:line="42" w:lineRule="exact"/>
        <w:rPr>
          <w:sz w:val="20"/>
          <w:szCs w:val="20"/>
          <w:color w:val="auto"/>
        </w:rPr>
      </w:pPr>
    </w:p>
    <w:p>
      <w:pPr>
        <w:ind w:left="80" w:right="240"/>
        <w:spacing w:after="0" w:line="267" w:lineRule="auto"/>
        <w:rPr>
          <w:sz w:val="20"/>
          <w:szCs w:val="20"/>
          <w:color w:val="auto"/>
        </w:rPr>
      </w:pPr>
      <w:r>
        <w:rPr>
          <w:rFonts w:ascii="Arial" w:cs="Arial" w:eastAsia="Arial" w:hAnsi="Arial"/>
          <w:sz w:val="14"/>
          <w:szCs w:val="14"/>
          <w:b w:val="1"/>
          <w:bCs w:val="1"/>
          <w:color w:val="auto"/>
        </w:rPr>
        <w:t>IMPORTANT NOTICE REGARDING THE AVAILABILITY OF PROXY MATERIALS FOR THE ANNUAL MEETING OF SHAREHOLDERS TO BE HELD ON MAY 5, 2026</w:t>
      </w:r>
      <w:r>
        <w:rPr>
          <w:rFonts w:ascii="Arial" w:cs="Arial" w:eastAsia="Arial" w:hAnsi="Arial"/>
          <w:sz w:val="14"/>
          <w:szCs w:val="14"/>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This Notice of Annual Meeting and Proxy Statement and the Company’s Annual Report on Form 10-K for the year ended December 31, 2025 are available at </w:t>
      </w:r>
      <w:r>
        <w:rPr>
          <w:rFonts w:ascii="Arial" w:cs="Arial" w:eastAsia="Arial" w:hAnsi="Arial"/>
          <w:sz w:val="14"/>
          <w:szCs w:val="14"/>
          <w:b w:val="1"/>
          <w:bCs w:val="1"/>
          <w:color w:val="auto"/>
        </w:rPr>
        <w:t>www.proxyvote.com</w:t>
      </w:r>
      <w:r>
        <w:rPr>
          <w:rFonts w:ascii="Arial" w:cs="Arial" w:eastAsia="Arial" w:hAnsi="Arial"/>
          <w:sz w:val="14"/>
          <w:szCs w:val="14"/>
          <w:color w:val="auto"/>
        </w:rPr>
        <w:t>. Have your Notice of Internet Availability of Proxy Materials or proxy card in hand when you go to the website.</w:t>
      </w:r>
    </w:p>
    <w:p>
      <w:pPr>
        <w:spacing w:after="0" w:line="214"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3" w:name="page4"/>
    <w:bookmarkEnd w:id="3"/>
    <w:p>
      <w:pPr>
        <w:ind w:left="260"/>
        <w:spacing w:after="0"/>
        <w:rPr>
          <w:sz w:val="20"/>
          <w:szCs w:val="20"/>
          <w:color w:val="auto"/>
        </w:rPr>
      </w:pPr>
      <w:r>
        <w:rPr>
          <w:rFonts w:ascii="Arial" w:cs="Arial" w:eastAsia="Arial" w:hAnsi="Arial"/>
          <w:sz w:val="58"/>
          <w:szCs w:val="58"/>
          <w:color w:val="auto"/>
        </w:rPr>
        <w:t xml:space="preserve">Table of </w:t>
      </w:r>
      <w:r>
        <w:rPr>
          <w:rFonts w:ascii="Arial" w:cs="Arial" w:eastAsia="Arial" w:hAnsi="Arial"/>
          <w:sz w:val="58"/>
          <w:szCs w:val="58"/>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43180" cy="41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180" cy="419735"/>
                    </a:xfrm>
                    <a:prstGeom prst="rect">
                      <a:avLst/>
                    </a:prstGeom>
                    <a:noFill/>
                  </pic:spPr>
                </pic:pic>
              </a:graphicData>
            </a:graphic>
          </wp:anchor>
        </w:drawing>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980" w:type="dxa"/>
            <w:vAlign w:val="bottom"/>
          </w:tcPr>
          <w:p>
            <w:pPr>
              <w:spacing w:after="0"/>
              <w:rPr>
                <w:sz w:val="20"/>
                <w:szCs w:val="20"/>
                <w:color w:val="auto"/>
              </w:rPr>
            </w:pPr>
            <w:r>
              <w:rPr>
                <w:rFonts w:ascii="Arial" w:cs="Arial" w:eastAsia="Arial" w:hAnsi="Arial"/>
                <w:sz w:val="16"/>
                <w:szCs w:val="16"/>
                <w:b w:val="1"/>
                <w:bCs w:val="1"/>
                <w:color w:val="auto"/>
              </w:rPr>
              <w:t>PROXY SUMMARY</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6</w:t>
            </w:r>
          </w:p>
        </w:tc>
      </w:tr>
      <w:tr>
        <w:trPr>
          <w:trHeight w:val="34"/>
        </w:trPr>
        <w:tc>
          <w:tcPr>
            <w:tcW w:w="10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168"/>
        </w:trPr>
        <w:tc>
          <w:tcPr>
            <w:tcW w:w="10980" w:type="dxa"/>
            <w:vAlign w:val="bottom"/>
          </w:tcPr>
          <w:p>
            <w:pPr>
              <w:spacing w:after="0" w:line="168" w:lineRule="exact"/>
              <w:rPr>
                <w:sz w:val="20"/>
                <w:szCs w:val="20"/>
                <w:color w:val="auto"/>
              </w:rPr>
            </w:pPr>
            <w:r>
              <w:rPr>
                <w:rFonts w:ascii="Arial" w:cs="Arial" w:eastAsia="Arial" w:hAnsi="Arial"/>
                <w:sz w:val="16"/>
                <w:szCs w:val="16"/>
                <w:color w:val="auto"/>
              </w:rPr>
              <w:t>Annual Shareholders Meeting</w:t>
            </w:r>
          </w:p>
        </w:tc>
        <w:tc>
          <w:tcPr>
            <w:tcW w:w="260" w:type="dxa"/>
            <w:vAlign w:val="bottom"/>
          </w:tcPr>
          <w:p>
            <w:pPr>
              <w:jc w:val="right"/>
              <w:spacing w:after="0" w:line="168" w:lineRule="exact"/>
              <w:rPr>
                <w:sz w:val="20"/>
                <w:szCs w:val="20"/>
                <w:color w:val="auto"/>
              </w:rPr>
            </w:pPr>
            <w:r>
              <w:rPr>
                <w:rFonts w:ascii="Arial" w:cs="Arial" w:eastAsia="Arial" w:hAnsi="Arial"/>
                <w:sz w:val="16"/>
                <w:szCs w:val="16"/>
                <w:color w:val="auto"/>
              </w:rPr>
              <w:t>6</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Voting Matters and Vote Recommendations</w:t>
            </w:r>
          </w:p>
        </w:tc>
        <w:tc>
          <w:tcPr>
            <w:tcW w:w="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Our Vision and Mission</w:t>
            </w: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2025 Performance Highlights</w:t>
            </w: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Our Director Nominees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10</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Executive Compensation Highlights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11</w:t>
            </w:r>
          </w:p>
        </w:tc>
      </w:tr>
      <w:tr>
        <w:trPr>
          <w:trHeight w:val="215"/>
        </w:trPr>
        <w:tc>
          <w:tcPr>
            <w:tcW w:w="10980" w:type="dxa"/>
            <w:vAlign w:val="bottom"/>
          </w:tcPr>
          <w:p>
            <w:pPr>
              <w:spacing w:after="0"/>
              <w:rPr>
                <w:sz w:val="20"/>
                <w:szCs w:val="20"/>
                <w:color w:val="auto"/>
              </w:rPr>
            </w:pPr>
            <w:r>
              <w:rPr>
                <w:rFonts w:ascii="Arial" w:cs="Arial" w:eastAsia="Arial" w:hAnsi="Arial"/>
                <w:sz w:val="16"/>
                <w:szCs w:val="16"/>
                <w:color w:val="auto"/>
              </w:rPr>
              <w:t>Shareholder Engagement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13</w:t>
            </w:r>
          </w:p>
        </w:tc>
      </w:tr>
      <w:tr>
        <w:trPr>
          <w:trHeight w:val="198"/>
        </w:trPr>
        <w:tc>
          <w:tcPr>
            <w:tcW w:w="10980" w:type="dxa"/>
            <w:vAlign w:val="bottom"/>
            <w:tcBorders>
              <w:bottom w:val="single" w:sz="8" w:color="FFE933"/>
            </w:tcBorders>
          </w:tcPr>
          <w:p>
            <w:pPr>
              <w:spacing w:after="0"/>
              <w:rPr>
                <w:sz w:val="17"/>
                <w:szCs w:val="17"/>
                <w:color w:val="auto"/>
              </w:rPr>
            </w:pPr>
          </w:p>
        </w:tc>
        <w:tc>
          <w:tcPr>
            <w:tcW w:w="260" w:type="dxa"/>
            <w:vAlign w:val="bottom"/>
            <w:tcBorders>
              <w:bottom w:val="single" w:sz="8" w:color="FFE933"/>
            </w:tcBorders>
          </w:tcPr>
          <w:p>
            <w:pPr>
              <w:spacing w:after="0"/>
              <w:rPr>
                <w:sz w:val="17"/>
                <w:szCs w:val="17"/>
                <w:color w:val="auto"/>
              </w:rPr>
            </w:pPr>
          </w:p>
        </w:tc>
      </w:tr>
      <w:tr>
        <w:trPr>
          <w:trHeight w:val="175"/>
        </w:trPr>
        <w:tc>
          <w:tcPr>
            <w:tcW w:w="10980" w:type="dxa"/>
            <w:vAlign w:val="bottom"/>
            <w:shd w:val="clear" w:color="auto" w:fill="F1F2F2"/>
          </w:tcPr>
          <w:p>
            <w:pPr>
              <w:ind w:left="100"/>
              <w:spacing w:after="0" w:line="175" w:lineRule="exact"/>
              <w:rPr>
                <w:sz w:val="20"/>
                <w:szCs w:val="20"/>
                <w:color w:val="auto"/>
              </w:rPr>
            </w:pPr>
            <w:r>
              <w:rPr>
                <w:rFonts w:ascii="Arial" w:cs="Arial" w:eastAsia="Arial" w:hAnsi="Arial"/>
                <w:sz w:val="16"/>
                <w:szCs w:val="16"/>
                <w:b w:val="1"/>
                <w:bCs w:val="1"/>
                <w:color w:val="auto"/>
              </w:rPr>
              <w:t>Proposal 1:</w:t>
            </w:r>
          </w:p>
        </w:tc>
        <w:tc>
          <w:tcPr>
            <w:tcW w:w="260" w:type="dxa"/>
            <w:vAlign w:val="bottom"/>
            <w:shd w:val="clear" w:color="auto" w:fill="F1F2F2"/>
          </w:tcPr>
          <w:p>
            <w:pPr>
              <w:jc w:val="right"/>
              <w:spacing w:after="0" w:line="175" w:lineRule="exact"/>
              <w:rPr>
                <w:sz w:val="20"/>
                <w:szCs w:val="20"/>
                <w:color w:val="auto"/>
              </w:rPr>
            </w:pPr>
            <w:r>
              <w:rPr>
                <w:rFonts w:ascii="Arial" w:cs="Arial" w:eastAsia="Arial" w:hAnsi="Arial"/>
                <w:sz w:val="16"/>
                <w:szCs w:val="16"/>
                <w:b w:val="1"/>
                <w:bCs w:val="1"/>
                <w:color w:val="auto"/>
                <w:w w:val="89"/>
              </w:rPr>
              <w:t>14</w:t>
            </w:r>
          </w:p>
        </w:tc>
      </w:tr>
      <w:tr>
        <w:trPr>
          <w:trHeight w:val="237"/>
        </w:trPr>
        <w:tc>
          <w:tcPr>
            <w:tcW w:w="1098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6"/>
                <w:szCs w:val="16"/>
                <w:b w:val="1"/>
                <w:bCs w:val="1"/>
                <w:color w:val="auto"/>
              </w:rPr>
              <w:t>ELECTION OF DIRECTORS</w:t>
            </w:r>
          </w:p>
        </w:tc>
        <w:tc>
          <w:tcPr>
            <w:tcW w:w="260" w:type="dxa"/>
            <w:vAlign w:val="bottom"/>
            <w:tcBorders>
              <w:bottom w:val="single" w:sz="8" w:color="F1F2F2"/>
            </w:tcBorders>
            <w:shd w:val="clear" w:color="auto" w:fill="F1F2F2"/>
          </w:tcPr>
          <w:p>
            <w:pPr>
              <w:spacing w:after="0"/>
              <w:rPr>
                <w:sz w:val="20"/>
                <w:szCs w:val="20"/>
                <w:color w:val="auto"/>
              </w:rPr>
            </w:pPr>
          </w:p>
        </w:tc>
      </w:tr>
      <w:tr>
        <w:trPr>
          <w:trHeight w:val="364"/>
        </w:trPr>
        <w:tc>
          <w:tcPr>
            <w:tcW w:w="10980" w:type="dxa"/>
            <w:vAlign w:val="bottom"/>
          </w:tcPr>
          <w:p>
            <w:pPr>
              <w:spacing w:after="0"/>
              <w:rPr>
                <w:sz w:val="20"/>
                <w:szCs w:val="20"/>
                <w:color w:val="auto"/>
              </w:rPr>
            </w:pPr>
            <w:r>
              <w:rPr>
                <w:rFonts w:ascii="Arial" w:cs="Arial" w:eastAsia="Arial" w:hAnsi="Arial"/>
                <w:sz w:val="16"/>
                <w:szCs w:val="16"/>
                <w:color w:val="auto"/>
              </w:rPr>
              <w:t>Director Qualifications and Experience</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14</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Commitment to Board Integrity, Experience, and Independence</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15</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Nomination and Election Process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15</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Shareholder Nominations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15</w:t>
            </w:r>
          </w:p>
        </w:tc>
      </w:tr>
      <w:tr>
        <w:trPr>
          <w:trHeight w:val="215"/>
        </w:trPr>
        <w:tc>
          <w:tcPr>
            <w:tcW w:w="10980" w:type="dxa"/>
            <w:vAlign w:val="bottom"/>
          </w:tcPr>
          <w:p>
            <w:pPr>
              <w:spacing w:after="0"/>
              <w:rPr>
                <w:sz w:val="20"/>
                <w:szCs w:val="20"/>
                <w:color w:val="auto"/>
              </w:rPr>
            </w:pPr>
            <w:r>
              <w:rPr>
                <w:rFonts w:ascii="Arial" w:cs="Arial" w:eastAsia="Arial" w:hAnsi="Arial"/>
                <w:sz w:val="16"/>
                <w:szCs w:val="16"/>
                <w:color w:val="auto"/>
              </w:rPr>
              <w:t>Director Nominees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16</w:t>
            </w:r>
          </w:p>
        </w:tc>
      </w:tr>
      <w:tr>
        <w:trPr>
          <w:trHeight w:val="386"/>
        </w:trPr>
        <w:tc>
          <w:tcPr>
            <w:tcW w:w="10980" w:type="dxa"/>
            <w:vAlign w:val="bottom"/>
          </w:tcPr>
          <w:p>
            <w:pPr>
              <w:spacing w:after="0"/>
              <w:rPr>
                <w:sz w:val="20"/>
                <w:szCs w:val="20"/>
                <w:color w:val="auto"/>
              </w:rPr>
            </w:pPr>
            <w:r>
              <w:rPr>
                <w:rFonts w:ascii="Arial" w:cs="Arial" w:eastAsia="Arial" w:hAnsi="Arial"/>
                <w:sz w:val="16"/>
                <w:szCs w:val="16"/>
                <w:b w:val="1"/>
                <w:bCs w:val="1"/>
                <w:color w:val="auto"/>
              </w:rPr>
              <w:t>CORPORATE GOVERNANCE</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w w:val="89"/>
              </w:rPr>
              <w:t>23</w:t>
            </w:r>
          </w:p>
        </w:tc>
      </w:tr>
      <w:tr>
        <w:trPr>
          <w:trHeight w:val="34"/>
        </w:trPr>
        <w:tc>
          <w:tcPr>
            <w:tcW w:w="10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168"/>
        </w:trPr>
        <w:tc>
          <w:tcPr>
            <w:tcW w:w="10980" w:type="dxa"/>
            <w:vAlign w:val="bottom"/>
          </w:tcPr>
          <w:p>
            <w:pPr>
              <w:spacing w:after="0" w:line="168" w:lineRule="exact"/>
              <w:rPr>
                <w:sz w:val="20"/>
                <w:szCs w:val="20"/>
                <w:color w:val="auto"/>
              </w:rPr>
            </w:pPr>
            <w:r>
              <w:rPr>
                <w:rFonts w:ascii="Arial" w:cs="Arial" w:eastAsia="Arial" w:hAnsi="Arial"/>
                <w:sz w:val="16"/>
                <w:szCs w:val="16"/>
                <w:color w:val="auto"/>
              </w:rPr>
              <w:t>Governance Snapshot</w:t>
            </w:r>
          </w:p>
        </w:tc>
        <w:tc>
          <w:tcPr>
            <w:tcW w:w="260" w:type="dxa"/>
            <w:vAlign w:val="bottom"/>
          </w:tcPr>
          <w:p>
            <w:pPr>
              <w:jc w:val="right"/>
              <w:spacing w:after="0" w:line="168" w:lineRule="exact"/>
              <w:rPr>
                <w:sz w:val="20"/>
                <w:szCs w:val="20"/>
                <w:color w:val="auto"/>
              </w:rPr>
            </w:pPr>
            <w:r>
              <w:rPr>
                <w:rFonts w:ascii="Arial" w:cs="Arial" w:eastAsia="Arial" w:hAnsi="Arial"/>
                <w:sz w:val="16"/>
                <w:szCs w:val="16"/>
                <w:color w:val="auto"/>
                <w:w w:val="89"/>
              </w:rPr>
              <w:t>23</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Board Leadership Structure</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24</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Director Independence</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25</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Board Oversight of Risk</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25</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Board Committees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26</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Board Practices and Procedures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28</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Shareholder Outreach and Engagement</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29</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Communications with Directors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29</w:t>
            </w:r>
          </w:p>
        </w:tc>
      </w:tr>
      <w:tr>
        <w:trPr>
          <w:trHeight w:val="189"/>
        </w:trPr>
        <w:tc>
          <w:tcPr>
            <w:tcW w:w="10980" w:type="dxa"/>
            <w:vAlign w:val="bottom"/>
          </w:tcPr>
          <w:p>
            <w:pPr>
              <w:spacing w:after="0"/>
              <w:rPr>
                <w:sz w:val="20"/>
                <w:szCs w:val="20"/>
                <w:color w:val="auto"/>
              </w:rPr>
            </w:pPr>
            <w:r>
              <w:rPr>
                <w:rFonts w:ascii="Arial" w:cs="Arial" w:eastAsia="Arial" w:hAnsi="Arial"/>
                <w:sz w:val="16"/>
                <w:szCs w:val="16"/>
                <w:color w:val="auto"/>
              </w:rPr>
              <w:t>Meetings and Attendance</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30</w:t>
            </w:r>
          </w:p>
        </w:tc>
      </w:tr>
      <w:tr>
        <w:trPr>
          <w:trHeight w:val="215"/>
        </w:trPr>
        <w:tc>
          <w:tcPr>
            <w:tcW w:w="10980" w:type="dxa"/>
            <w:vAlign w:val="bottom"/>
          </w:tcPr>
          <w:p>
            <w:pPr>
              <w:spacing w:after="0"/>
              <w:rPr>
                <w:sz w:val="20"/>
                <w:szCs w:val="20"/>
                <w:color w:val="auto"/>
              </w:rPr>
            </w:pPr>
            <w:r>
              <w:rPr>
                <w:rFonts w:ascii="Arial" w:cs="Arial" w:eastAsia="Arial" w:hAnsi="Arial"/>
                <w:sz w:val="16"/>
                <w:szCs w:val="16"/>
                <w:color w:val="auto"/>
              </w:rPr>
              <w:t>Additional Resources</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30</w:t>
            </w:r>
          </w:p>
        </w:tc>
      </w:tr>
      <w:tr>
        <w:trPr>
          <w:trHeight w:val="386"/>
        </w:trPr>
        <w:tc>
          <w:tcPr>
            <w:tcW w:w="10980" w:type="dxa"/>
            <w:vAlign w:val="bottom"/>
          </w:tcPr>
          <w:p>
            <w:pPr>
              <w:spacing w:after="0"/>
              <w:rPr>
                <w:sz w:val="20"/>
                <w:szCs w:val="20"/>
                <w:color w:val="auto"/>
              </w:rPr>
            </w:pPr>
            <w:r>
              <w:rPr>
                <w:rFonts w:ascii="Arial" w:cs="Arial" w:eastAsia="Arial" w:hAnsi="Arial"/>
                <w:sz w:val="16"/>
                <w:szCs w:val="16"/>
                <w:b w:val="1"/>
                <w:bCs w:val="1"/>
                <w:color w:val="auto"/>
              </w:rPr>
              <w:t>SUSTAINABILITY AT HUBBELL</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w w:val="89"/>
              </w:rPr>
              <w:t>31</w:t>
            </w:r>
          </w:p>
        </w:tc>
      </w:tr>
      <w:tr>
        <w:trPr>
          <w:trHeight w:val="35"/>
        </w:trPr>
        <w:tc>
          <w:tcPr>
            <w:tcW w:w="10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364"/>
        </w:trPr>
        <w:tc>
          <w:tcPr>
            <w:tcW w:w="10980" w:type="dxa"/>
            <w:vAlign w:val="bottom"/>
          </w:tcPr>
          <w:p>
            <w:pPr>
              <w:spacing w:after="0"/>
              <w:rPr>
                <w:sz w:val="20"/>
                <w:szCs w:val="20"/>
                <w:color w:val="auto"/>
              </w:rPr>
            </w:pPr>
            <w:r>
              <w:rPr>
                <w:rFonts w:ascii="Arial" w:cs="Arial" w:eastAsia="Arial" w:hAnsi="Arial"/>
                <w:sz w:val="16"/>
                <w:szCs w:val="16"/>
                <w:b w:val="1"/>
                <w:bCs w:val="1"/>
                <w:color w:val="auto"/>
              </w:rPr>
              <w:t>DIRECTOR COMPENSATION</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w w:val="89"/>
              </w:rPr>
              <w:t>32</w:t>
            </w:r>
          </w:p>
        </w:tc>
      </w:tr>
      <w:tr>
        <w:trPr>
          <w:trHeight w:val="35"/>
        </w:trPr>
        <w:tc>
          <w:tcPr>
            <w:tcW w:w="10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r>
      <w:tr>
        <w:trPr>
          <w:trHeight w:val="168"/>
        </w:trPr>
        <w:tc>
          <w:tcPr>
            <w:tcW w:w="10980" w:type="dxa"/>
            <w:vAlign w:val="bottom"/>
          </w:tcPr>
          <w:p>
            <w:pPr>
              <w:spacing w:after="0" w:line="168" w:lineRule="exact"/>
              <w:rPr>
                <w:sz w:val="20"/>
                <w:szCs w:val="20"/>
                <w:color w:val="auto"/>
              </w:rPr>
            </w:pPr>
            <w:r>
              <w:rPr>
                <w:rFonts w:ascii="Arial" w:cs="Arial" w:eastAsia="Arial" w:hAnsi="Arial"/>
                <w:sz w:val="16"/>
                <w:szCs w:val="16"/>
                <w:color w:val="auto"/>
              </w:rPr>
              <w:t>Elements of Compensation</w:t>
            </w:r>
          </w:p>
        </w:tc>
        <w:tc>
          <w:tcPr>
            <w:tcW w:w="260" w:type="dxa"/>
            <w:vAlign w:val="bottom"/>
          </w:tcPr>
          <w:p>
            <w:pPr>
              <w:jc w:val="right"/>
              <w:spacing w:after="0" w:line="168" w:lineRule="exact"/>
              <w:rPr>
                <w:sz w:val="20"/>
                <w:szCs w:val="20"/>
                <w:color w:val="auto"/>
              </w:rPr>
            </w:pPr>
            <w:r>
              <w:rPr>
                <w:rFonts w:ascii="Arial" w:cs="Arial" w:eastAsia="Arial" w:hAnsi="Arial"/>
                <w:sz w:val="16"/>
                <w:szCs w:val="16"/>
                <w:color w:val="auto"/>
                <w:w w:val="89"/>
              </w:rPr>
              <w:t>32</w:t>
            </w:r>
          </w:p>
        </w:tc>
      </w:tr>
      <w:tr>
        <w:trPr>
          <w:trHeight w:val="215"/>
        </w:trPr>
        <w:tc>
          <w:tcPr>
            <w:tcW w:w="10980" w:type="dxa"/>
            <w:vAlign w:val="bottom"/>
          </w:tcPr>
          <w:p>
            <w:pPr>
              <w:spacing w:after="0"/>
              <w:rPr>
                <w:sz w:val="20"/>
                <w:szCs w:val="20"/>
                <w:color w:val="auto"/>
              </w:rPr>
            </w:pPr>
            <w:r>
              <w:rPr>
                <w:rFonts w:ascii="Arial" w:cs="Arial" w:eastAsia="Arial" w:hAnsi="Arial"/>
                <w:sz w:val="16"/>
                <w:szCs w:val="16"/>
                <w:color w:val="auto"/>
              </w:rPr>
              <w:t>Director Compensation Table</w:t>
            </w:r>
          </w:p>
        </w:tc>
        <w:tc>
          <w:tcPr>
            <w:tcW w:w="260" w:type="dxa"/>
            <w:vAlign w:val="bottom"/>
          </w:tcPr>
          <w:p>
            <w:pPr>
              <w:jc w:val="right"/>
              <w:spacing w:after="0"/>
              <w:rPr>
                <w:sz w:val="20"/>
                <w:szCs w:val="20"/>
                <w:color w:val="auto"/>
              </w:rPr>
            </w:pPr>
            <w:r>
              <w:rPr>
                <w:rFonts w:ascii="Arial" w:cs="Arial" w:eastAsia="Arial" w:hAnsi="Arial"/>
                <w:sz w:val="16"/>
                <w:szCs w:val="16"/>
                <w:color w:val="auto"/>
                <w:w w:val="89"/>
              </w:rPr>
              <w:t>33</w:t>
            </w:r>
          </w:p>
        </w:tc>
      </w:tr>
      <w:tr>
        <w:trPr>
          <w:trHeight w:val="386"/>
        </w:trPr>
        <w:tc>
          <w:tcPr>
            <w:tcW w:w="10980" w:type="dxa"/>
            <w:vAlign w:val="bottom"/>
          </w:tcPr>
          <w:p>
            <w:pPr>
              <w:ind w:left="8860"/>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p>
        </w:tc>
        <w:tc>
          <w:tcPr>
            <w:tcW w:w="26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258"/>
        </w:trPr>
        <w:tc>
          <w:tcPr>
            <w:tcW w:w="10980" w:type="dxa"/>
            <w:vAlign w:val="bottom"/>
            <w:tcBorders>
              <w:bottom w:val="single" w:sz="8" w:color="C0C0C0"/>
            </w:tcBorders>
          </w:tcPr>
          <w:p>
            <w:pPr>
              <w:spacing w:after="0"/>
              <w:rPr>
                <w:sz w:val="22"/>
                <w:szCs w:val="22"/>
                <w:color w:val="auto"/>
              </w:rPr>
            </w:pPr>
          </w:p>
        </w:tc>
        <w:tc>
          <w:tcPr>
            <w:tcW w:w="26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368"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00" w:type="dxa"/>
            <w:vAlign w:val="bottom"/>
            <w:tcBorders>
              <w:top w:val="single" w:sz="8" w:color="FFE933"/>
            </w:tcBorders>
            <w:shd w:val="clear" w:color="auto" w:fill="F1F2F2"/>
          </w:tcPr>
          <w:p>
            <w:pPr>
              <w:ind w:left="100"/>
              <w:spacing w:after="0"/>
              <w:rPr>
                <w:sz w:val="20"/>
                <w:szCs w:val="20"/>
                <w:color w:val="auto"/>
              </w:rPr>
            </w:pPr>
            <w:r>
              <w:rPr>
                <w:rFonts w:ascii="Arial" w:cs="Arial" w:eastAsia="Arial" w:hAnsi="Arial"/>
                <w:sz w:val="16"/>
                <w:szCs w:val="16"/>
                <w:b w:val="1"/>
                <w:bCs w:val="1"/>
                <w:color w:val="auto"/>
              </w:rPr>
              <w:t>Proposal 2:</w:t>
            </w:r>
          </w:p>
        </w:tc>
        <w:tc>
          <w:tcPr>
            <w:tcW w:w="1940" w:type="dxa"/>
            <w:vAlign w:val="bottom"/>
            <w:tcBorders>
              <w:top w:val="single" w:sz="8" w:color="FFE933"/>
            </w:tcBorders>
            <w:shd w:val="clear" w:color="auto" w:fill="F1F2F2"/>
          </w:tcPr>
          <w:p>
            <w:pPr>
              <w:jc w:val="right"/>
              <w:spacing w:after="0"/>
              <w:rPr>
                <w:sz w:val="20"/>
                <w:szCs w:val="20"/>
                <w:color w:val="auto"/>
              </w:rPr>
            </w:pPr>
            <w:r>
              <w:rPr>
                <w:rFonts w:ascii="Arial" w:cs="Arial" w:eastAsia="Arial" w:hAnsi="Arial"/>
                <w:sz w:val="16"/>
                <w:szCs w:val="16"/>
                <w:b w:val="1"/>
                <w:bCs w:val="1"/>
                <w:color w:val="auto"/>
              </w:rPr>
              <w:t>35</w:t>
            </w:r>
          </w:p>
        </w:tc>
      </w:tr>
      <w:tr>
        <w:trPr>
          <w:trHeight w:val="237"/>
        </w:trPr>
        <w:tc>
          <w:tcPr>
            <w:tcW w:w="93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6"/>
                <w:szCs w:val="16"/>
                <w:b w:val="1"/>
                <w:bCs w:val="1"/>
                <w:color w:val="auto"/>
              </w:rPr>
              <w:t>ADVISORY VOTE TO APPROVE NAMED EXECUTIVE OFFICER COMPENSATION</w:t>
            </w:r>
          </w:p>
        </w:tc>
        <w:tc>
          <w:tcPr>
            <w:tcW w:w="1940" w:type="dxa"/>
            <w:vAlign w:val="bottom"/>
            <w:tcBorders>
              <w:bottom w:val="single" w:sz="8" w:color="F1F2F2"/>
            </w:tcBorders>
            <w:shd w:val="clear" w:color="auto" w:fill="F1F2F2"/>
          </w:tcPr>
          <w:p>
            <w:pPr>
              <w:spacing w:after="0"/>
              <w:rPr>
                <w:sz w:val="20"/>
                <w:szCs w:val="20"/>
                <w:color w:val="auto"/>
              </w:rPr>
            </w:pPr>
          </w:p>
        </w:tc>
      </w:tr>
      <w:tr>
        <w:trPr>
          <w:trHeight w:val="371"/>
        </w:trPr>
        <w:tc>
          <w:tcPr>
            <w:tcW w:w="9300" w:type="dxa"/>
            <w:vAlign w:val="bottom"/>
          </w:tcPr>
          <w:p>
            <w:pPr>
              <w:spacing w:after="0"/>
              <w:rPr>
                <w:sz w:val="20"/>
                <w:szCs w:val="20"/>
                <w:color w:val="auto"/>
              </w:rPr>
            </w:pPr>
            <w:r>
              <w:rPr>
                <w:rFonts w:ascii="Arial" w:cs="Arial" w:eastAsia="Arial" w:hAnsi="Arial"/>
                <w:sz w:val="16"/>
                <w:szCs w:val="16"/>
                <w:b w:val="1"/>
                <w:bCs w:val="1"/>
                <w:color w:val="auto"/>
              </w:rPr>
              <w:t>COMPENSATION DISCUSSION AND ANALYSIS (CD&amp;A)</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36</w:t>
            </w:r>
          </w:p>
        </w:tc>
      </w:tr>
      <w:tr>
        <w:trPr>
          <w:trHeight w:val="3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68"/>
        </w:trPr>
        <w:tc>
          <w:tcPr>
            <w:tcW w:w="9300" w:type="dxa"/>
            <w:vAlign w:val="bottom"/>
          </w:tcPr>
          <w:p>
            <w:pPr>
              <w:spacing w:after="0" w:line="168" w:lineRule="exact"/>
              <w:rPr>
                <w:sz w:val="20"/>
                <w:szCs w:val="20"/>
                <w:color w:val="auto"/>
              </w:rPr>
            </w:pPr>
            <w:r>
              <w:rPr>
                <w:rFonts w:ascii="Arial" w:cs="Arial" w:eastAsia="Arial" w:hAnsi="Arial"/>
                <w:sz w:val="16"/>
                <w:szCs w:val="16"/>
                <w:color w:val="auto"/>
              </w:rPr>
              <w:t>Executive Summary</w:t>
            </w:r>
          </w:p>
        </w:tc>
        <w:tc>
          <w:tcPr>
            <w:tcW w:w="1940" w:type="dxa"/>
            <w:vAlign w:val="bottom"/>
          </w:tcPr>
          <w:p>
            <w:pPr>
              <w:jc w:val="right"/>
              <w:spacing w:after="0" w:line="168" w:lineRule="exact"/>
              <w:rPr>
                <w:sz w:val="20"/>
                <w:szCs w:val="20"/>
                <w:color w:val="auto"/>
              </w:rPr>
            </w:pPr>
            <w:r>
              <w:rPr>
                <w:rFonts w:ascii="Arial" w:cs="Arial" w:eastAsia="Arial" w:hAnsi="Arial"/>
                <w:sz w:val="16"/>
                <w:szCs w:val="16"/>
                <w:color w:val="auto"/>
              </w:rPr>
              <w:t>36</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CEO Pay vs. Realized Pay vs. Company Performance</w:t>
            </w:r>
          </w:p>
        </w:tc>
        <w:tc>
          <w:tcPr>
            <w:tcW w:w="1940" w:type="dxa"/>
            <w:vAlign w:val="bottom"/>
          </w:tcPr>
          <w:p>
            <w:pPr>
              <w:jc w:val="right"/>
              <w:spacing w:after="0"/>
              <w:rPr>
                <w:sz w:val="20"/>
                <w:szCs w:val="20"/>
                <w:color w:val="auto"/>
              </w:rPr>
            </w:pPr>
            <w:r>
              <w:rPr>
                <w:rFonts w:ascii="Arial" w:cs="Arial" w:eastAsia="Arial" w:hAnsi="Arial"/>
                <w:sz w:val="16"/>
                <w:szCs w:val="16"/>
                <w:color w:val="auto"/>
              </w:rPr>
              <w:t>39</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Our Compensation Program</w:t>
            </w:r>
          </w:p>
        </w:tc>
        <w:tc>
          <w:tcPr>
            <w:tcW w:w="1940" w:type="dxa"/>
            <w:vAlign w:val="bottom"/>
          </w:tcPr>
          <w:p>
            <w:pPr>
              <w:jc w:val="right"/>
              <w:spacing w:after="0"/>
              <w:rPr>
                <w:sz w:val="20"/>
                <w:szCs w:val="20"/>
                <w:color w:val="auto"/>
              </w:rPr>
            </w:pPr>
            <w:r>
              <w:rPr>
                <w:rFonts w:ascii="Arial" w:cs="Arial" w:eastAsia="Arial" w:hAnsi="Arial"/>
                <w:sz w:val="16"/>
                <w:szCs w:val="16"/>
                <w:color w:val="auto"/>
              </w:rPr>
              <w:t>41</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How We Make Compensation Decisions</w:t>
            </w:r>
          </w:p>
        </w:tc>
        <w:tc>
          <w:tcPr>
            <w:tcW w:w="194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2025 Compensation Results</w:t>
            </w:r>
          </w:p>
        </w:tc>
        <w:tc>
          <w:tcPr>
            <w:tcW w:w="194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Other Compensation Policies</w:t>
            </w:r>
          </w:p>
        </w:tc>
        <w:tc>
          <w:tcPr>
            <w:tcW w:w="194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9300" w:type="dxa"/>
            <w:vAlign w:val="bottom"/>
          </w:tcPr>
          <w:p>
            <w:pPr>
              <w:spacing w:after="0"/>
              <w:rPr>
                <w:sz w:val="20"/>
                <w:szCs w:val="20"/>
                <w:color w:val="auto"/>
              </w:rPr>
            </w:pPr>
            <w:r>
              <w:rPr>
                <w:rFonts w:ascii="Arial" w:cs="Arial" w:eastAsia="Arial" w:hAnsi="Arial"/>
                <w:sz w:val="16"/>
                <w:szCs w:val="16"/>
                <w:color w:val="auto"/>
              </w:rPr>
              <w:t>Employee Benefit Programs</w:t>
            </w:r>
          </w:p>
        </w:tc>
        <w:tc>
          <w:tcPr>
            <w:tcW w:w="194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386"/>
        </w:trPr>
        <w:tc>
          <w:tcPr>
            <w:tcW w:w="9300" w:type="dxa"/>
            <w:vAlign w:val="bottom"/>
          </w:tcPr>
          <w:p>
            <w:pPr>
              <w:spacing w:after="0"/>
              <w:rPr>
                <w:sz w:val="20"/>
                <w:szCs w:val="20"/>
                <w:color w:val="auto"/>
              </w:rPr>
            </w:pPr>
            <w:r>
              <w:rPr>
                <w:rFonts w:ascii="Arial" w:cs="Arial" w:eastAsia="Arial" w:hAnsi="Arial"/>
                <w:sz w:val="16"/>
                <w:szCs w:val="16"/>
                <w:b w:val="1"/>
                <w:bCs w:val="1"/>
                <w:color w:val="auto"/>
              </w:rPr>
              <w:t>EXECUTIVE COMPENSATION</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57</w:t>
            </w:r>
          </w:p>
        </w:tc>
      </w:tr>
      <w:tr>
        <w:trPr>
          <w:trHeight w:val="3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68"/>
        </w:trPr>
        <w:tc>
          <w:tcPr>
            <w:tcW w:w="9300" w:type="dxa"/>
            <w:vAlign w:val="bottom"/>
          </w:tcPr>
          <w:p>
            <w:pPr>
              <w:spacing w:after="0" w:line="168" w:lineRule="exact"/>
              <w:rPr>
                <w:sz w:val="20"/>
                <w:szCs w:val="20"/>
                <w:color w:val="auto"/>
              </w:rPr>
            </w:pPr>
            <w:r>
              <w:rPr>
                <w:rFonts w:ascii="Arial" w:cs="Arial" w:eastAsia="Arial" w:hAnsi="Arial"/>
                <w:sz w:val="16"/>
                <w:szCs w:val="16"/>
                <w:color w:val="auto"/>
              </w:rPr>
              <w:t>Summary Compensation Table</w:t>
            </w:r>
          </w:p>
        </w:tc>
        <w:tc>
          <w:tcPr>
            <w:tcW w:w="1940" w:type="dxa"/>
            <w:vAlign w:val="bottom"/>
          </w:tcPr>
          <w:p>
            <w:pPr>
              <w:jc w:val="right"/>
              <w:spacing w:after="0" w:line="168" w:lineRule="exact"/>
              <w:rPr>
                <w:sz w:val="20"/>
                <w:szCs w:val="20"/>
                <w:color w:val="auto"/>
              </w:rPr>
            </w:pPr>
            <w:r>
              <w:rPr>
                <w:rFonts w:ascii="Arial" w:cs="Arial" w:eastAsia="Arial" w:hAnsi="Arial"/>
                <w:sz w:val="16"/>
                <w:szCs w:val="16"/>
                <w:color w:val="auto"/>
              </w:rPr>
              <w:t>57</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Other Compensation Tables</w:t>
            </w:r>
          </w:p>
        </w:tc>
        <w:tc>
          <w:tcPr>
            <w:tcW w:w="194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CEO Pay Ratio</w:t>
            </w:r>
          </w:p>
        </w:tc>
        <w:tc>
          <w:tcPr>
            <w:tcW w:w="19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9300" w:type="dxa"/>
            <w:vAlign w:val="bottom"/>
          </w:tcPr>
          <w:p>
            <w:pPr>
              <w:spacing w:after="0"/>
              <w:rPr>
                <w:sz w:val="20"/>
                <w:szCs w:val="20"/>
                <w:color w:val="auto"/>
              </w:rPr>
            </w:pPr>
            <w:r>
              <w:rPr>
                <w:rFonts w:ascii="Arial" w:cs="Arial" w:eastAsia="Arial" w:hAnsi="Arial"/>
                <w:sz w:val="16"/>
                <w:szCs w:val="16"/>
                <w:color w:val="auto"/>
              </w:rPr>
              <w:t>Pay Versus Performance</w:t>
            </w:r>
          </w:p>
        </w:tc>
        <w:tc>
          <w:tcPr>
            <w:tcW w:w="194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198"/>
        </w:trPr>
        <w:tc>
          <w:tcPr>
            <w:tcW w:w="9300" w:type="dxa"/>
            <w:vAlign w:val="bottom"/>
            <w:tcBorders>
              <w:bottom w:val="single" w:sz="8" w:color="FFE933"/>
            </w:tcBorders>
          </w:tcPr>
          <w:p>
            <w:pPr>
              <w:spacing w:after="0"/>
              <w:rPr>
                <w:sz w:val="17"/>
                <w:szCs w:val="17"/>
                <w:color w:val="auto"/>
              </w:rPr>
            </w:pPr>
          </w:p>
        </w:tc>
        <w:tc>
          <w:tcPr>
            <w:tcW w:w="1940" w:type="dxa"/>
            <w:vAlign w:val="bottom"/>
            <w:tcBorders>
              <w:bottom w:val="single" w:sz="8" w:color="FFE933"/>
            </w:tcBorders>
          </w:tcPr>
          <w:p>
            <w:pPr>
              <w:spacing w:after="0"/>
              <w:rPr>
                <w:sz w:val="17"/>
                <w:szCs w:val="17"/>
                <w:color w:val="auto"/>
              </w:rPr>
            </w:pPr>
          </w:p>
        </w:tc>
      </w:tr>
      <w:tr>
        <w:trPr>
          <w:trHeight w:val="175"/>
        </w:trPr>
        <w:tc>
          <w:tcPr>
            <w:tcW w:w="9300" w:type="dxa"/>
            <w:vAlign w:val="bottom"/>
            <w:shd w:val="clear" w:color="auto" w:fill="F1F2F2"/>
          </w:tcPr>
          <w:p>
            <w:pPr>
              <w:ind w:left="100"/>
              <w:spacing w:after="0" w:line="175" w:lineRule="exact"/>
              <w:rPr>
                <w:sz w:val="20"/>
                <w:szCs w:val="20"/>
                <w:color w:val="auto"/>
              </w:rPr>
            </w:pPr>
            <w:r>
              <w:rPr>
                <w:rFonts w:ascii="Arial" w:cs="Arial" w:eastAsia="Arial" w:hAnsi="Arial"/>
                <w:sz w:val="16"/>
                <w:szCs w:val="16"/>
                <w:b w:val="1"/>
                <w:bCs w:val="1"/>
                <w:color w:val="auto"/>
              </w:rPr>
              <w:t>Proposal 3:</w:t>
            </w:r>
          </w:p>
        </w:tc>
        <w:tc>
          <w:tcPr>
            <w:tcW w:w="1940" w:type="dxa"/>
            <w:vAlign w:val="bottom"/>
            <w:shd w:val="clear" w:color="auto" w:fill="F1F2F2"/>
          </w:tcPr>
          <w:p>
            <w:pPr>
              <w:jc w:val="right"/>
              <w:spacing w:after="0" w:line="175" w:lineRule="exact"/>
              <w:rPr>
                <w:sz w:val="20"/>
                <w:szCs w:val="20"/>
                <w:color w:val="auto"/>
              </w:rPr>
            </w:pPr>
            <w:r>
              <w:rPr>
                <w:rFonts w:ascii="Arial" w:cs="Arial" w:eastAsia="Arial" w:hAnsi="Arial"/>
                <w:sz w:val="16"/>
                <w:szCs w:val="16"/>
                <w:b w:val="1"/>
                <w:bCs w:val="1"/>
                <w:color w:val="auto"/>
              </w:rPr>
              <w:t>75</w:t>
            </w:r>
          </w:p>
        </w:tc>
      </w:tr>
      <w:tr>
        <w:trPr>
          <w:trHeight w:val="237"/>
        </w:trPr>
        <w:tc>
          <w:tcPr>
            <w:tcW w:w="9300" w:type="dxa"/>
            <w:vAlign w:val="bottom"/>
            <w:tcBorders>
              <w:bottom w:val="single" w:sz="8" w:color="F1F2F2"/>
            </w:tcBorders>
            <w:shd w:val="clear" w:color="auto" w:fill="F1F2F2"/>
          </w:tcPr>
          <w:p>
            <w:pPr>
              <w:ind w:left="100"/>
              <w:spacing w:after="0"/>
              <w:rPr>
                <w:sz w:val="20"/>
                <w:szCs w:val="20"/>
                <w:color w:val="auto"/>
              </w:rPr>
            </w:pPr>
            <w:r>
              <w:rPr>
                <w:rFonts w:ascii="Arial" w:cs="Arial" w:eastAsia="Arial" w:hAnsi="Arial"/>
                <w:sz w:val="16"/>
                <w:szCs w:val="16"/>
                <w:b w:val="1"/>
                <w:bCs w:val="1"/>
                <w:color w:val="auto"/>
              </w:rPr>
              <w:t>RATIFICATION OF THE SELECTION OF INDEPENDENT REGISTERED PUBLIC ACCOUNTING FIRM</w:t>
            </w:r>
          </w:p>
        </w:tc>
        <w:tc>
          <w:tcPr>
            <w:tcW w:w="1940" w:type="dxa"/>
            <w:vAlign w:val="bottom"/>
            <w:tcBorders>
              <w:bottom w:val="single" w:sz="8" w:color="F1F2F2"/>
            </w:tcBorders>
            <w:shd w:val="clear" w:color="auto" w:fill="F1F2F2"/>
          </w:tcPr>
          <w:p>
            <w:pPr>
              <w:spacing w:after="0"/>
              <w:rPr>
                <w:sz w:val="20"/>
                <w:szCs w:val="20"/>
                <w:color w:val="auto"/>
              </w:rPr>
            </w:pPr>
          </w:p>
        </w:tc>
      </w:tr>
      <w:tr>
        <w:trPr>
          <w:trHeight w:val="364"/>
        </w:trPr>
        <w:tc>
          <w:tcPr>
            <w:tcW w:w="9300" w:type="dxa"/>
            <w:vAlign w:val="bottom"/>
          </w:tcPr>
          <w:p>
            <w:pPr>
              <w:spacing w:after="0"/>
              <w:rPr>
                <w:sz w:val="20"/>
                <w:szCs w:val="20"/>
                <w:color w:val="auto"/>
              </w:rPr>
            </w:pPr>
            <w:r>
              <w:rPr>
                <w:rFonts w:ascii="Arial" w:cs="Arial" w:eastAsia="Arial" w:hAnsi="Arial"/>
                <w:sz w:val="16"/>
                <w:szCs w:val="16"/>
                <w:color w:val="auto"/>
              </w:rPr>
              <w:t>Independent Accounting Firm Fees</w:t>
            </w:r>
          </w:p>
        </w:tc>
        <w:tc>
          <w:tcPr>
            <w:tcW w:w="1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Audit and Non-Audit Services Pre-Approval Policy</w:t>
            </w:r>
          </w:p>
        </w:tc>
        <w:tc>
          <w:tcPr>
            <w:tcW w:w="194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5"/>
        </w:trPr>
        <w:tc>
          <w:tcPr>
            <w:tcW w:w="9300" w:type="dxa"/>
            <w:vAlign w:val="bottom"/>
          </w:tcPr>
          <w:p>
            <w:pPr>
              <w:spacing w:after="0"/>
              <w:rPr>
                <w:sz w:val="20"/>
                <w:szCs w:val="20"/>
                <w:color w:val="auto"/>
              </w:rPr>
            </w:pPr>
            <w:r>
              <w:rPr>
                <w:rFonts w:ascii="Arial" w:cs="Arial" w:eastAsia="Arial" w:hAnsi="Arial"/>
                <w:sz w:val="16"/>
                <w:szCs w:val="16"/>
                <w:color w:val="auto"/>
              </w:rPr>
              <w:t>Audit Committee Report</w:t>
            </w:r>
          </w:p>
        </w:tc>
        <w:tc>
          <w:tcPr>
            <w:tcW w:w="1940" w:type="dxa"/>
            <w:vAlign w:val="bottom"/>
          </w:tcPr>
          <w:p>
            <w:pPr>
              <w:jc w:val="right"/>
              <w:spacing w:after="0"/>
              <w:rPr>
                <w:sz w:val="20"/>
                <w:szCs w:val="20"/>
                <w:color w:val="auto"/>
              </w:rPr>
            </w:pPr>
            <w:r>
              <w:rPr>
                <w:rFonts w:ascii="Arial" w:cs="Arial" w:eastAsia="Arial" w:hAnsi="Arial"/>
                <w:sz w:val="16"/>
                <w:szCs w:val="16"/>
                <w:color w:val="auto"/>
              </w:rPr>
              <w:t>77</w:t>
            </w:r>
          </w:p>
        </w:tc>
      </w:tr>
      <w:tr>
        <w:trPr>
          <w:trHeight w:val="386"/>
        </w:trPr>
        <w:tc>
          <w:tcPr>
            <w:tcW w:w="9300" w:type="dxa"/>
            <w:vAlign w:val="bottom"/>
          </w:tcPr>
          <w:p>
            <w:pPr>
              <w:spacing w:after="0"/>
              <w:rPr>
                <w:sz w:val="20"/>
                <w:szCs w:val="20"/>
                <w:color w:val="auto"/>
              </w:rPr>
            </w:pPr>
            <w:r>
              <w:rPr>
                <w:rFonts w:ascii="Arial" w:cs="Arial" w:eastAsia="Arial" w:hAnsi="Arial"/>
                <w:sz w:val="16"/>
                <w:szCs w:val="16"/>
                <w:b w:val="1"/>
                <w:bCs w:val="1"/>
                <w:color w:val="auto"/>
              </w:rPr>
              <w:t>ADDITIONAL INFORMATION</w:t>
            </w:r>
          </w:p>
        </w:tc>
        <w:tc>
          <w:tcPr>
            <w:tcW w:w="1940" w:type="dxa"/>
            <w:vAlign w:val="bottom"/>
          </w:tcPr>
          <w:p>
            <w:pPr>
              <w:jc w:val="right"/>
              <w:spacing w:after="0"/>
              <w:rPr>
                <w:sz w:val="20"/>
                <w:szCs w:val="20"/>
                <w:color w:val="auto"/>
              </w:rPr>
            </w:pPr>
            <w:r>
              <w:rPr>
                <w:rFonts w:ascii="Arial" w:cs="Arial" w:eastAsia="Arial" w:hAnsi="Arial"/>
                <w:sz w:val="16"/>
                <w:szCs w:val="16"/>
                <w:b w:val="1"/>
                <w:bCs w:val="1"/>
                <w:color w:val="auto"/>
              </w:rPr>
              <w:t>78</w:t>
            </w:r>
          </w:p>
        </w:tc>
      </w:tr>
      <w:tr>
        <w:trPr>
          <w:trHeight w:val="34"/>
        </w:trPr>
        <w:tc>
          <w:tcPr>
            <w:tcW w:w="93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168"/>
        </w:trPr>
        <w:tc>
          <w:tcPr>
            <w:tcW w:w="9300" w:type="dxa"/>
            <w:vAlign w:val="bottom"/>
          </w:tcPr>
          <w:p>
            <w:pPr>
              <w:spacing w:after="0" w:line="168" w:lineRule="exact"/>
              <w:rPr>
                <w:sz w:val="20"/>
                <w:szCs w:val="20"/>
                <w:color w:val="auto"/>
              </w:rPr>
            </w:pPr>
            <w:r>
              <w:rPr>
                <w:rFonts w:ascii="Arial" w:cs="Arial" w:eastAsia="Arial" w:hAnsi="Arial"/>
                <w:sz w:val="16"/>
                <w:szCs w:val="16"/>
                <w:color w:val="auto"/>
              </w:rPr>
              <w:t>Solicitation Expenses</w:t>
            </w:r>
          </w:p>
        </w:tc>
        <w:tc>
          <w:tcPr>
            <w:tcW w:w="1940" w:type="dxa"/>
            <w:vAlign w:val="bottom"/>
          </w:tcPr>
          <w:p>
            <w:pPr>
              <w:jc w:val="right"/>
              <w:spacing w:after="0" w:line="168" w:lineRule="exact"/>
              <w:rPr>
                <w:sz w:val="20"/>
                <w:szCs w:val="20"/>
                <w:color w:val="auto"/>
              </w:rPr>
            </w:pPr>
            <w:r>
              <w:rPr>
                <w:rFonts w:ascii="Arial" w:cs="Arial" w:eastAsia="Arial" w:hAnsi="Arial"/>
                <w:sz w:val="16"/>
                <w:szCs w:val="16"/>
                <w:color w:val="auto"/>
              </w:rPr>
              <w:t>78</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Stock Ownership Information</w:t>
            </w:r>
          </w:p>
        </w:tc>
        <w:tc>
          <w:tcPr>
            <w:tcW w:w="194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Delinquent Section 16(a) Reports</w:t>
            </w:r>
          </w:p>
        </w:tc>
        <w:tc>
          <w:tcPr>
            <w:tcW w:w="19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Compensation Committee Interlocks and Insider Participation</w:t>
            </w:r>
          </w:p>
        </w:tc>
        <w:tc>
          <w:tcPr>
            <w:tcW w:w="19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Review and Approval of Related Person Transactions</w:t>
            </w:r>
          </w:p>
        </w:tc>
        <w:tc>
          <w:tcPr>
            <w:tcW w:w="19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Revocation of Proxy</w:t>
            </w:r>
          </w:p>
        </w:tc>
        <w:tc>
          <w:tcPr>
            <w:tcW w:w="194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Shareholder Proposals and Nominations for Director</w:t>
            </w:r>
          </w:p>
        </w:tc>
        <w:tc>
          <w:tcPr>
            <w:tcW w:w="194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89"/>
        </w:trPr>
        <w:tc>
          <w:tcPr>
            <w:tcW w:w="9300" w:type="dxa"/>
            <w:vAlign w:val="bottom"/>
          </w:tcPr>
          <w:p>
            <w:pPr>
              <w:spacing w:after="0"/>
              <w:rPr>
                <w:sz w:val="20"/>
                <w:szCs w:val="20"/>
                <w:color w:val="auto"/>
              </w:rPr>
            </w:pPr>
            <w:r>
              <w:rPr>
                <w:rFonts w:ascii="Arial" w:cs="Arial" w:eastAsia="Arial" w:hAnsi="Arial"/>
                <w:sz w:val="16"/>
                <w:szCs w:val="16"/>
                <w:color w:val="auto"/>
              </w:rPr>
              <w:t>Eliminating Duplicative Proxy Materials (“Householding”)</w:t>
            </w:r>
          </w:p>
        </w:tc>
        <w:tc>
          <w:tcPr>
            <w:tcW w:w="194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5"/>
        </w:trPr>
        <w:tc>
          <w:tcPr>
            <w:tcW w:w="9300" w:type="dxa"/>
            <w:vAlign w:val="bottom"/>
          </w:tcPr>
          <w:p>
            <w:pPr>
              <w:spacing w:after="0"/>
              <w:rPr>
                <w:sz w:val="20"/>
                <w:szCs w:val="20"/>
                <w:color w:val="auto"/>
              </w:rPr>
            </w:pPr>
            <w:r>
              <w:rPr>
                <w:rFonts w:ascii="Arial" w:cs="Arial" w:eastAsia="Arial" w:hAnsi="Arial"/>
                <w:sz w:val="16"/>
                <w:szCs w:val="16"/>
                <w:color w:val="auto"/>
              </w:rPr>
              <w:t>Availability of Annual Report on Form 10-K</w:t>
            </w:r>
          </w:p>
        </w:tc>
        <w:tc>
          <w:tcPr>
            <w:tcW w:w="1940" w:type="dxa"/>
            <w:vAlign w:val="bottom"/>
          </w:tcPr>
          <w:p>
            <w:pPr>
              <w:jc w:val="right"/>
              <w:spacing w:after="0"/>
              <w:rPr>
                <w:sz w:val="20"/>
                <w:szCs w:val="20"/>
                <w:color w:val="auto"/>
              </w:rPr>
            </w:pPr>
            <w:r>
              <w:rPr>
                <w:rFonts w:ascii="Arial" w:cs="Arial" w:eastAsia="Arial" w:hAnsi="Arial"/>
                <w:sz w:val="16"/>
                <w:szCs w:val="16"/>
                <w:color w:val="auto"/>
              </w:rPr>
              <w:t>82</w:t>
            </w:r>
          </w:p>
        </w:tc>
      </w:tr>
    </w:tbl>
    <w:p>
      <w:pPr>
        <w:spacing w:after="0" w:line="16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146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66"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Notable 2025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23114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140" cy="222885"/>
                    </a:xfrm>
                    <a:prstGeom prst="rect">
                      <a:avLst/>
                    </a:prstGeom>
                    <a:noFill/>
                  </pic:spPr>
                </pic:pic>
              </a:graphicData>
            </a:graphic>
          </wp:anchor>
        </w:drawing>
      </w:r>
    </w:p>
    <w:p>
      <w:pPr>
        <w:spacing w:after="0" w:line="1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Hubbell’s Board appointed a new independent Director - Edward H. Baine on August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560" w:right="200"/>
        <w:spacing w:after="0" w:line="286" w:lineRule="auto"/>
        <w:rPr>
          <w:sz w:val="20"/>
          <w:szCs w:val="20"/>
          <w:color w:val="auto"/>
        </w:rPr>
      </w:pPr>
      <w:r>
        <w:rPr>
          <w:rFonts w:ascii="Arial" w:cs="Arial" w:eastAsia="Arial" w:hAnsi="Arial"/>
          <w:sz w:val="16"/>
          <w:szCs w:val="16"/>
          <w:color w:val="auto"/>
        </w:rPr>
        <w:t>Announced the planned retirement of William R. Sperry from his role as Chief Financial Officer, effective December 31, 2025, and the appointment of long-time senior finance lead Joseph A. Capozzoli as Chief Financial Officer, effective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5054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505460"/>
                    </a:xfrm>
                    <a:prstGeom prst="rect">
                      <a:avLst/>
                    </a:prstGeom>
                    <a:noFill/>
                  </pic:spPr>
                </pic:pic>
              </a:graphicData>
            </a:graphic>
          </wp:anchor>
        </w:drawing>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Closed on three acquisitions and one disposition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4" w:lineRule="exact"/>
        <w:rPr>
          <w:sz w:val="20"/>
          <w:szCs w:val="20"/>
          <w:color w:val="auto"/>
        </w:rPr>
      </w:pPr>
    </w:p>
    <w:p>
      <w:pPr>
        <w:ind w:left="560" w:right="180"/>
        <w:spacing w:after="0" w:line="286" w:lineRule="auto"/>
        <w:rPr>
          <w:sz w:val="20"/>
          <w:szCs w:val="20"/>
          <w:color w:val="auto"/>
        </w:rPr>
      </w:pPr>
      <w:r>
        <w:rPr>
          <w:rFonts w:ascii="Arial" w:cs="Arial" w:eastAsia="Arial" w:hAnsi="Arial"/>
          <w:sz w:val="16"/>
          <w:szCs w:val="16"/>
          <w:color w:val="auto"/>
        </w:rPr>
        <w:t>Hubbell’s shareholders adopted a majority vote standard in uncontested elections of Directors on May 6, 2025 (previously had been a plurality vote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506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506095"/>
                    </a:xfrm>
                    <a:prstGeom prst="rect">
                      <a:avLst/>
                    </a:prstGeom>
                    <a:noFill/>
                  </pic:spPr>
                </pic:pic>
              </a:graphicData>
            </a:graphic>
          </wp:anchor>
        </w:drawing>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Compensation Committee decided in 2024 to revise the compensation Peer Group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248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48285"/>
                    </a:xfrm>
                    <a:prstGeom prst="rect">
                      <a:avLst/>
                    </a:prstGeom>
                    <a:noFill/>
                  </pic:spPr>
                </pic:pic>
              </a:graphicData>
            </a:graphic>
          </wp:anchor>
        </w:drawing>
      </w:r>
    </w:p>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Hubbell’s shareholders adopted the Hubbell Incorporated Incentive Award Plan on May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8</w:t>
      </w:r>
    </w:p>
    <w:p>
      <w:pPr>
        <w:spacing w:after="0" w:line="248"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auto"/>
        </w:rPr>
        <w:t>9</w:t>
      </w:r>
    </w:p>
    <w:p>
      <w:pPr>
        <w:spacing w:after="0" w:line="248"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9</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23</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45</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49</w:t>
      </w:r>
    </w:p>
    <w:p>
      <w:pPr>
        <w:spacing w:after="0" w:line="200" w:lineRule="exact"/>
        <w:rPr>
          <w:sz w:val="20"/>
          <w:szCs w:val="20"/>
          <w:color w:val="auto"/>
        </w:rPr>
      </w:pPr>
    </w:p>
    <w:p>
      <w:pPr>
        <w:sectPr>
          <w:pgSz w:w="11900" w:h="16838" w:orient="portrait"/>
          <w:cols w:equalWidth="0" w:num="2">
            <w:col w:w="10280" w:space="720"/>
            <w:col w:w="240"/>
          </w:cols>
          <w:pgMar w:left="320" w:top="238" w:right="339" w:bottom="1440" w:gutter="0" w:footer="0" w:header="0"/>
          <w:type w:val="continuous"/>
        </w:sectPr>
      </w:pPr>
    </w:p>
    <w:p>
      <w:pPr>
        <w:spacing w:after="0" w:line="116" w:lineRule="exact"/>
        <w:rPr>
          <w:sz w:val="20"/>
          <w:szCs w:val="20"/>
          <w:color w:val="auto"/>
        </w:rPr>
      </w:pPr>
    </w:p>
    <w:p>
      <w:pPr>
        <w:ind w:left="8860"/>
        <w:spacing w:after="0"/>
        <w:tabs>
          <w:tab w:leader="none" w:pos="111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58"/>
          <w:szCs w:val="58"/>
          <w:color w:val="auto"/>
        </w:rPr>
        <w:t xml:space="preserve">Proxy </w:t>
      </w:r>
      <w:r>
        <w:rPr>
          <w:rFonts w:ascii="Arial" w:cs="Arial" w:eastAsia="Arial" w:hAnsi="Arial"/>
          <w:sz w:val="58"/>
          <w:szCs w:val="58"/>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43180" cy="420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3180" cy="420370"/>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Annual Shareholders Meeting</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Proxy Summary highlights selected information contained in this Proxy Statement. It does not contain all the information that you should consider when deciding how to vote. Please read the entire Proxy Statement carefully before voting.</w:t>
      </w:r>
    </w:p>
    <w:p>
      <w:pPr>
        <w:sectPr>
          <w:pgSz w:w="11900" w:h="16838" w:orient="portrait"/>
          <w:cols w:equalWidth="0" w:num="1">
            <w:col w:w="11240"/>
          </w:cols>
          <w:pgMar w:left="320" w:top="238" w:right="339" w:bottom="1440" w:gutter="0" w:footer="0" w:header="0"/>
        </w:sectPr>
      </w:pPr>
    </w:p>
    <w:p>
      <w:pPr>
        <w:spacing w:after="0" w:line="12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16865" cy="3003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6865" cy="300355"/>
                    </a:xfrm>
                    <a:prstGeom prst="rect">
                      <a:avLst/>
                    </a:prstGeom>
                    <a:noFill/>
                  </pic:spPr>
                </pic:pic>
              </a:graphicData>
            </a:graphic>
          </wp:anchor>
        </w:drawing>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Tuesday, May 5, 2026, at 9:00 a.m.</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-107315</wp:posOffset>
            </wp:positionV>
            <wp:extent cx="316865" cy="316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6865" cy="3168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This Proxy Statement was first mailed to shareholders on or about March 23, 2026.</w:t>
      </w:r>
    </w:p>
    <w:p>
      <w:pPr>
        <w:spacing w:after="0" w:line="200" w:lineRule="exact"/>
        <w:rPr>
          <w:sz w:val="20"/>
          <w:szCs w:val="20"/>
          <w:color w:val="auto"/>
        </w:rPr>
      </w:pPr>
    </w:p>
    <w:p>
      <w:pPr>
        <w:sectPr>
          <w:pgSz w:w="11900" w:h="16838" w:orient="portrait"/>
          <w:cols w:equalWidth="0" w:num="2">
            <w:col w:w="4260" w:space="720"/>
            <w:col w:w="6260"/>
          </w:cols>
          <w:pgMar w:left="320" w:top="238" w:right="339" w:bottom="1440" w:gutter="0" w:footer="0" w:header="0"/>
          <w:type w:val="continuous"/>
        </w:sectPr>
      </w:pPr>
    </w:p>
    <w:p>
      <w:pPr>
        <w:spacing w:after="0" w:line="86"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16865"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6865" cy="308610"/>
                    </a:xfrm>
                    <a:prstGeom prst="rect">
                      <a:avLst/>
                    </a:prstGeom>
                    <a:noFill/>
                  </pic:spPr>
                </pic:pic>
              </a:graphicData>
            </a:graphic>
          </wp:anchor>
        </w:drawing>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Hubbell Incorporated</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40 Waterview Drive</w:t>
      </w:r>
    </w:p>
    <w:p>
      <w:pPr>
        <w:spacing w:after="0" w:line="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Shelton, CT 06484</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-107315</wp:posOffset>
            </wp:positionV>
            <wp:extent cx="316865" cy="308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6865" cy="30861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Shareholders as of the record date are entitled to vote. Each share of common stock of</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Hubbell Incorporated (the “Company’’) is entitled to one vote for each Director nominee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one vote for each of the proposals.</w:t>
      </w:r>
    </w:p>
    <w:p>
      <w:pPr>
        <w:spacing w:after="0" w:line="200" w:lineRule="exact"/>
        <w:rPr>
          <w:sz w:val="20"/>
          <w:szCs w:val="20"/>
          <w:color w:val="auto"/>
        </w:rPr>
      </w:pPr>
    </w:p>
    <w:p>
      <w:pPr>
        <w:sectPr>
          <w:pgSz w:w="11900" w:h="16838" w:orient="portrait"/>
          <w:cols w:equalWidth="0" w:num="2">
            <w:col w:w="4260" w:space="720"/>
            <w:col w:w="6260"/>
          </w:cols>
          <w:pgMar w:left="320" w:top="238" w:right="339" w:bottom="1440" w:gutter="0" w:footer="0" w:header="0"/>
          <w:type w:val="continuous"/>
        </w:sectPr>
      </w:pP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316865" cy="3086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6865" cy="308610"/>
                    </a:xfrm>
                    <a:prstGeom prst="rect">
                      <a:avLst/>
                    </a:prstGeom>
                    <a:noFill/>
                  </pic:spPr>
                </pic:pic>
              </a:graphicData>
            </a:graphic>
          </wp:anchor>
        </w:drawing>
      </w:r>
    </w:p>
    <w:p>
      <w:pPr>
        <w:spacing w:after="0" w:line="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March 6, 2026</w:t>
      </w:r>
    </w:p>
    <w:p>
      <w:pPr>
        <w:sectPr>
          <w:pgSz w:w="11900" w:h="16838" w:orient="portrait"/>
          <w:cols w:equalWidth="0" w:num="1">
            <w:col w:w="11240"/>
          </w:cols>
          <w:pgMar w:left="320" w:top="238" w:right="33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Voting Matters and Vote Recommendations</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 quorum is required to transact business at the Annual Meeting. The presence of the holders of common stock, in person or by proxy, representing a majority of the voting power of the Company’s outstanding shares will constitute a quorum. Abstentions and broker non-votes are counted as present for quorum purposes.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2840" w:type="dxa"/>
            <w:vAlign w:val="bottom"/>
            <w:tcBorders>
              <w:right w:val="single" w:sz="8" w:color="FFE933"/>
            </w:tcBorders>
            <w:shd w:val="clear" w:color="auto" w:fill="FFE933"/>
          </w:tcPr>
          <w:p>
            <w:pPr>
              <w:spacing w:after="0"/>
              <w:rPr>
                <w:sz w:val="5"/>
                <w:szCs w:val="5"/>
                <w:color w:val="auto"/>
              </w:rPr>
            </w:pPr>
          </w:p>
        </w:tc>
        <w:tc>
          <w:tcPr>
            <w:tcW w:w="1820" w:type="dxa"/>
            <w:vAlign w:val="bottom"/>
            <w:shd w:val="clear" w:color="auto" w:fill="FFE933"/>
          </w:tcPr>
          <w:p>
            <w:pPr>
              <w:spacing w:after="0"/>
              <w:rPr>
                <w:sz w:val="5"/>
                <w:szCs w:val="5"/>
                <w:color w:val="auto"/>
              </w:rPr>
            </w:pPr>
          </w:p>
        </w:tc>
        <w:tc>
          <w:tcPr>
            <w:tcW w:w="1020" w:type="dxa"/>
            <w:vAlign w:val="bottom"/>
            <w:tcBorders>
              <w:right w:val="single" w:sz="8" w:color="FFE933"/>
            </w:tcBorders>
            <w:shd w:val="clear" w:color="auto" w:fill="FFE933"/>
          </w:tcPr>
          <w:p>
            <w:pPr>
              <w:spacing w:after="0"/>
              <w:rPr>
                <w:sz w:val="5"/>
                <w:szCs w:val="5"/>
                <w:color w:val="auto"/>
              </w:rPr>
            </w:pPr>
          </w:p>
        </w:tc>
        <w:tc>
          <w:tcPr>
            <w:tcW w:w="1720" w:type="dxa"/>
            <w:vAlign w:val="bottom"/>
            <w:shd w:val="clear" w:color="auto" w:fill="FFE933"/>
          </w:tcPr>
          <w:p>
            <w:pPr>
              <w:spacing w:after="0"/>
              <w:rPr>
                <w:sz w:val="5"/>
                <w:szCs w:val="5"/>
                <w:color w:val="auto"/>
              </w:rPr>
            </w:pPr>
          </w:p>
        </w:tc>
        <w:tc>
          <w:tcPr>
            <w:tcW w:w="1060" w:type="dxa"/>
            <w:vAlign w:val="bottom"/>
            <w:tcBorders>
              <w:right w:val="single" w:sz="8" w:color="FFE933"/>
            </w:tcBorders>
            <w:shd w:val="clear" w:color="auto" w:fill="FFE933"/>
          </w:tcPr>
          <w:p>
            <w:pPr>
              <w:spacing w:after="0"/>
              <w:rPr>
                <w:sz w:val="5"/>
                <w:szCs w:val="5"/>
                <w:color w:val="auto"/>
              </w:rPr>
            </w:pPr>
          </w:p>
        </w:tc>
        <w:tc>
          <w:tcPr>
            <w:tcW w:w="1960" w:type="dxa"/>
            <w:vAlign w:val="bottom"/>
            <w:shd w:val="clear" w:color="auto" w:fill="FFE933"/>
          </w:tcPr>
          <w:p>
            <w:pPr>
              <w:spacing w:after="0"/>
              <w:rPr>
                <w:sz w:val="5"/>
                <w:szCs w:val="5"/>
                <w:color w:val="auto"/>
              </w:rPr>
            </w:pPr>
          </w:p>
        </w:tc>
        <w:tc>
          <w:tcPr>
            <w:tcW w:w="820" w:type="dxa"/>
            <w:vAlign w:val="bottom"/>
            <w:shd w:val="clear" w:color="auto" w:fill="FFE933"/>
          </w:tcPr>
          <w:p>
            <w:pPr>
              <w:spacing w:after="0"/>
              <w:rPr>
                <w:sz w:val="5"/>
                <w:szCs w:val="5"/>
                <w:color w:val="auto"/>
              </w:rPr>
            </w:pPr>
          </w:p>
        </w:tc>
        <w:tc>
          <w:tcPr>
            <w:tcW w:w="0" w:type="dxa"/>
            <w:vAlign w:val="bottom"/>
          </w:tcPr>
          <w:p>
            <w:pPr>
              <w:spacing w:after="0"/>
              <w:rPr>
                <w:sz w:val="1"/>
                <w:szCs w:val="1"/>
                <w:color w:val="auto"/>
              </w:rPr>
            </w:pPr>
          </w:p>
        </w:tc>
      </w:tr>
      <w:tr>
        <w:trPr>
          <w:trHeight w:val="674"/>
        </w:trPr>
        <w:tc>
          <w:tcPr>
            <w:tcW w:w="2840" w:type="dxa"/>
            <w:vAlign w:val="bottom"/>
            <w:tcBorders>
              <w:right w:val="single" w:sz="8" w:color="BCBEC0"/>
            </w:tcBorders>
          </w:tcPr>
          <w:p>
            <w:pPr>
              <w:spacing w:after="0"/>
              <w:rPr>
                <w:sz w:val="24"/>
                <w:szCs w:val="24"/>
                <w:color w:val="auto"/>
              </w:rPr>
            </w:pPr>
          </w:p>
        </w:tc>
        <w:tc>
          <w:tcPr>
            <w:tcW w:w="1820" w:type="dxa"/>
            <w:vAlign w:val="bottom"/>
          </w:tcPr>
          <w:p>
            <w:pPr>
              <w:ind w:left="140"/>
              <w:spacing w:after="0"/>
              <w:rPr>
                <w:sz w:val="20"/>
                <w:szCs w:val="20"/>
                <w:color w:val="auto"/>
              </w:rPr>
            </w:pPr>
            <w:r>
              <w:rPr>
                <w:rFonts w:ascii="Arial" w:cs="Arial" w:eastAsia="Arial" w:hAnsi="Arial"/>
                <w:sz w:val="47"/>
                <w:szCs w:val="47"/>
                <w:b w:val="1"/>
                <w:bCs w:val="1"/>
                <w:color w:val="auto"/>
              </w:rPr>
              <w:t>1</w:t>
            </w:r>
          </w:p>
        </w:tc>
        <w:tc>
          <w:tcPr>
            <w:tcW w:w="1020" w:type="dxa"/>
            <w:vAlign w:val="bottom"/>
            <w:tcBorders>
              <w:right w:val="single" w:sz="8" w:color="BCBEC0"/>
            </w:tcBorders>
          </w:tcPr>
          <w:p>
            <w:pPr>
              <w:spacing w:after="0"/>
              <w:rPr>
                <w:sz w:val="24"/>
                <w:szCs w:val="24"/>
                <w:color w:val="auto"/>
              </w:rPr>
            </w:pPr>
          </w:p>
        </w:tc>
        <w:tc>
          <w:tcPr>
            <w:tcW w:w="1720" w:type="dxa"/>
            <w:vAlign w:val="bottom"/>
          </w:tcPr>
          <w:p>
            <w:pPr>
              <w:ind w:left="120"/>
              <w:spacing w:after="0"/>
              <w:rPr>
                <w:sz w:val="20"/>
                <w:szCs w:val="20"/>
                <w:color w:val="auto"/>
              </w:rPr>
            </w:pPr>
            <w:r>
              <w:rPr>
                <w:rFonts w:ascii="Arial" w:cs="Arial" w:eastAsia="Arial" w:hAnsi="Arial"/>
                <w:sz w:val="47"/>
                <w:szCs w:val="47"/>
                <w:b w:val="1"/>
                <w:bCs w:val="1"/>
                <w:color w:val="auto"/>
              </w:rPr>
              <w:t>2</w:t>
            </w:r>
          </w:p>
        </w:tc>
        <w:tc>
          <w:tcPr>
            <w:tcW w:w="1060" w:type="dxa"/>
            <w:vAlign w:val="bottom"/>
            <w:tcBorders>
              <w:right w:val="single" w:sz="8" w:color="BCBEC0"/>
            </w:tcBorders>
          </w:tcPr>
          <w:p>
            <w:pPr>
              <w:spacing w:after="0"/>
              <w:rPr>
                <w:sz w:val="24"/>
                <w:szCs w:val="24"/>
                <w:color w:val="auto"/>
              </w:rPr>
            </w:pPr>
          </w:p>
        </w:tc>
        <w:tc>
          <w:tcPr>
            <w:tcW w:w="1960" w:type="dxa"/>
            <w:vAlign w:val="bottom"/>
          </w:tcPr>
          <w:p>
            <w:pPr>
              <w:ind w:left="140"/>
              <w:spacing w:after="0"/>
              <w:rPr>
                <w:sz w:val="20"/>
                <w:szCs w:val="20"/>
                <w:color w:val="auto"/>
              </w:rPr>
            </w:pPr>
            <w:r>
              <w:rPr>
                <w:rFonts w:ascii="Arial" w:cs="Arial" w:eastAsia="Arial" w:hAnsi="Arial"/>
                <w:sz w:val="47"/>
                <w:szCs w:val="47"/>
                <w:b w:val="1"/>
                <w:bCs w:val="1"/>
                <w:color w:val="auto"/>
              </w:rPr>
              <w:t>3</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840" w:type="dxa"/>
            <w:vAlign w:val="bottom"/>
            <w:tcBorders>
              <w:right w:val="single" w:sz="8" w:color="BCBEC0"/>
            </w:tcBorders>
          </w:tcPr>
          <w:p>
            <w:pPr>
              <w:ind w:left="180"/>
              <w:spacing w:after="0" w:line="244" w:lineRule="exact"/>
              <w:rPr>
                <w:sz w:val="20"/>
                <w:szCs w:val="20"/>
                <w:color w:val="auto"/>
              </w:rPr>
            </w:pPr>
            <w:r>
              <w:rPr>
                <w:rFonts w:ascii="Arial" w:cs="Arial" w:eastAsia="Arial" w:hAnsi="Arial"/>
                <w:sz w:val="22"/>
                <w:szCs w:val="22"/>
                <w:b w:val="1"/>
                <w:bCs w:val="1"/>
                <w:color w:val="auto"/>
              </w:rPr>
              <w:t>Item of Business</w:t>
            </w:r>
          </w:p>
        </w:tc>
        <w:tc>
          <w:tcPr>
            <w:tcW w:w="1820" w:type="dxa"/>
            <w:vAlign w:val="bottom"/>
          </w:tcPr>
          <w:p>
            <w:pPr>
              <w:ind w:left="140"/>
              <w:spacing w:after="0"/>
              <w:rPr>
                <w:sz w:val="20"/>
                <w:szCs w:val="20"/>
                <w:color w:val="auto"/>
              </w:rPr>
            </w:pPr>
            <w:r>
              <w:rPr>
                <w:rFonts w:ascii="Arial" w:cs="Arial" w:eastAsia="Arial" w:hAnsi="Arial"/>
                <w:sz w:val="16"/>
                <w:szCs w:val="16"/>
                <w:color w:val="auto"/>
              </w:rPr>
              <w:t>Election of Directors.</w:t>
            </w:r>
          </w:p>
        </w:tc>
        <w:tc>
          <w:tcPr>
            <w:tcW w:w="1020" w:type="dxa"/>
            <w:vAlign w:val="bottom"/>
            <w:tcBorders>
              <w:right w:val="single" w:sz="8" w:color="BCBEC0"/>
            </w:tcBorders>
          </w:tcPr>
          <w:p>
            <w:pPr>
              <w:spacing w:after="0"/>
              <w:rPr>
                <w:sz w:val="21"/>
                <w:szCs w:val="21"/>
                <w:color w:val="auto"/>
              </w:rPr>
            </w:pPr>
          </w:p>
        </w:tc>
        <w:tc>
          <w:tcPr>
            <w:tcW w:w="2780" w:type="dxa"/>
            <w:vAlign w:val="bottom"/>
            <w:tcBorders>
              <w:right w:val="single" w:sz="8" w:color="BCBEC0"/>
            </w:tcBorders>
            <w:gridSpan w:val="2"/>
          </w:tcPr>
          <w:p>
            <w:pPr>
              <w:ind w:left="120"/>
              <w:spacing w:after="0"/>
              <w:rPr>
                <w:sz w:val="20"/>
                <w:szCs w:val="20"/>
                <w:color w:val="auto"/>
              </w:rPr>
            </w:pPr>
            <w:r>
              <w:rPr>
                <w:rFonts w:ascii="Arial" w:cs="Arial" w:eastAsia="Arial" w:hAnsi="Arial"/>
                <w:sz w:val="16"/>
                <w:szCs w:val="16"/>
                <w:color w:val="auto"/>
              </w:rPr>
              <w:t>Approve, by an advisory vote, the</w:t>
            </w:r>
          </w:p>
        </w:tc>
        <w:tc>
          <w:tcPr>
            <w:tcW w:w="1960" w:type="dxa"/>
            <w:vAlign w:val="bottom"/>
          </w:tcPr>
          <w:p>
            <w:pPr>
              <w:ind w:left="140"/>
              <w:spacing w:after="0"/>
              <w:rPr>
                <w:sz w:val="20"/>
                <w:szCs w:val="20"/>
                <w:color w:val="auto"/>
              </w:rPr>
            </w:pPr>
            <w:r>
              <w:rPr>
                <w:rFonts w:ascii="Arial" w:cs="Arial" w:eastAsia="Arial" w:hAnsi="Arial"/>
                <w:sz w:val="16"/>
                <w:szCs w:val="16"/>
                <w:color w:val="auto"/>
              </w:rPr>
              <w:t>Ratify the selection of</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840" w:type="dxa"/>
            <w:vAlign w:val="bottom"/>
            <w:tcBorders>
              <w:right w:val="single" w:sz="8" w:color="BCBEC0"/>
            </w:tcBorders>
          </w:tcPr>
          <w:p>
            <w:pPr>
              <w:spacing w:after="0"/>
              <w:rPr>
                <w:sz w:val="12"/>
                <w:szCs w:val="12"/>
                <w:color w:val="auto"/>
              </w:rPr>
            </w:pPr>
          </w:p>
        </w:tc>
        <w:tc>
          <w:tcPr>
            <w:tcW w:w="1820" w:type="dxa"/>
            <w:vAlign w:val="bottom"/>
          </w:tcPr>
          <w:p>
            <w:pPr>
              <w:spacing w:after="0"/>
              <w:rPr>
                <w:sz w:val="12"/>
                <w:szCs w:val="12"/>
                <w:color w:val="auto"/>
              </w:rPr>
            </w:pPr>
          </w:p>
        </w:tc>
        <w:tc>
          <w:tcPr>
            <w:tcW w:w="1020" w:type="dxa"/>
            <w:vAlign w:val="bottom"/>
            <w:tcBorders>
              <w:right w:val="single" w:sz="8" w:color="BCBEC0"/>
            </w:tcBorders>
          </w:tcPr>
          <w:p>
            <w:pPr>
              <w:spacing w:after="0"/>
              <w:rPr>
                <w:sz w:val="12"/>
                <w:szCs w:val="12"/>
                <w:color w:val="auto"/>
              </w:rPr>
            </w:pPr>
          </w:p>
        </w:tc>
        <w:tc>
          <w:tcPr>
            <w:tcW w:w="2780" w:type="dxa"/>
            <w:vAlign w:val="bottom"/>
            <w:tcBorders>
              <w:right w:val="single" w:sz="8" w:color="BCBEC0"/>
            </w:tcBorders>
            <w:gridSpan w:val="2"/>
          </w:tcPr>
          <w:p>
            <w:pPr>
              <w:ind w:left="120"/>
              <w:spacing w:after="0" w:line="148" w:lineRule="exact"/>
              <w:rPr>
                <w:sz w:val="20"/>
                <w:szCs w:val="20"/>
                <w:color w:val="auto"/>
              </w:rPr>
            </w:pPr>
            <w:r>
              <w:rPr>
                <w:rFonts w:ascii="Arial" w:cs="Arial" w:eastAsia="Arial" w:hAnsi="Arial"/>
                <w:sz w:val="16"/>
                <w:szCs w:val="16"/>
                <w:color w:val="auto"/>
              </w:rPr>
              <w:t>compensation of the Named</w:t>
            </w:r>
          </w:p>
        </w:tc>
        <w:tc>
          <w:tcPr>
            <w:tcW w:w="2780" w:type="dxa"/>
            <w:vAlign w:val="bottom"/>
            <w:gridSpan w:val="2"/>
          </w:tcPr>
          <w:p>
            <w:pPr>
              <w:ind w:left="140"/>
              <w:spacing w:after="0" w:line="148" w:lineRule="exact"/>
              <w:rPr>
                <w:sz w:val="20"/>
                <w:szCs w:val="20"/>
                <w:color w:val="auto"/>
              </w:rPr>
            </w:pPr>
            <w:r>
              <w:rPr>
                <w:rFonts w:ascii="Arial" w:cs="Arial" w:eastAsia="Arial" w:hAnsi="Arial"/>
                <w:sz w:val="16"/>
                <w:szCs w:val="16"/>
                <w:color w:val="auto"/>
              </w:rPr>
              <w:t>PricewaterhouseCoopers LLP as</w:t>
            </w:r>
          </w:p>
        </w:tc>
        <w:tc>
          <w:tcPr>
            <w:tcW w:w="0" w:type="dxa"/>
            <w:vAlign w:val="bottom"/>
          </w:tcPr>
          <w:p>
            <w:pPr>
              <w:spacing w:after="0"/>
              <w:rPr>
                <w:sz w:val="1"/>
                <w:szCs w:val="1"/>
                <w:color w:val="auto"/>
              </w:rPr>
            </w:pPr>
          </w:p>
        </w:tc>
      </w:tr>
      <w:tr>
        <w:trPr>
          <w:trHeight w:val="189"/>
        </w:trPr>
        <w:tc>
          <w:tcPr>
            <w:tcW w:w="2840" w:type="dxa"/>
            <w:vAlign w:val="bottom"/>
            <w:tcBorders>
              <w:right w:val="single" w:sz="8" w:color="BCBEC0"/>
            </w:tcBorders>
          </w:tcPr>
          <w:p>
            <w:pPr>
              <w:spacing w:after="0"/>
              <w:rPr>
                <w:sz w:val="16"/>
                <w:szCs w:val="16"/>
                <w:color w:val="auto"/>
              </w:rPr>
            </w:pPr>
          </w:p>
        </w:tc>
        <w:tc>
          <w:tcPr>
            <w:tcW w:w="1820" w:type="dxa"/>
            <w:vAlign w:val="bottom"/>
          </w:tcPr>
          <w:p>
            <w:pPr>
              <w:spacing w:after="0"/>
              <w:rPr>
                <w:sz w:val="16"/>
                <w:szCs w:val="16"/>
                <w:color w:val="auto"/>
              </w:rPr>
            </w:pPr>
          </w:p>
        </w:tc>
        <w:tc>
          <w:tcPr>
            <w:tcW w:w="1020" w:type="dxa"/>
            <w:vAlign w:val="bottom"/>
            <w:tcBorders>
              <w:right w:val="single" w:sz="8" w:color="BCBEC0"/>
            </w:tcBorders>
          </w:tcPr>
          <w:p>
            <w:pPr>
              <w:spacing w:after="0"/>
              <w:rPr>
                <w:sz w:val="16"/>
                <w:szCs w:val="16"/>
                <w:color w:val="auto"/>
              </w:rPr>
            </w:pPr>
          </w:p>
        </w:tc>
        <w:tc>
          <w:tcPr>
            <w:tcW w:w="1720" w:type="dxa"/>
            <w:vAlign w:val="bottom"/>
          </w:tcPr>
          <w:p>
            <w:pPr>
              <w:ind w:left="120"/>
              <w:spacing w:after="0"/>
              <w:rPr>
                <w:sz w:val="20"/>
                <w:szCs w:val="20"/>
                <w:color w:val="auto"/>
              </w:rPr>
            </w:pPr>
            <w:r>
              <w:rPr>
                <w:rFonts w:ascii="Arial" w:cs="Arial" w:eastAsia="Arial" w:hAnsi="Arial"/>
                <w:sz w:val="16"/>
                <w:szCs w:val="16"/>
                <w:color w:val="auto"/>
              </w:rPr>
              <w:t>Executive Officers.</w:t>
            </w:r>
          </w:p>
        </w:tc>
        <w:tc>
          <w:tcPr>
            <w:tcW w:w="1060" w:type="dxa"/>
            <w:vAlign w:val="bottom"/>
            <w:tcBorders>
              <w:right w:val="single" w:sz="8" w:color="BCBEC0"/>
            </w:tcBorders>
          </w:tcPr>
          <w:p>
            <w:pPr>
              <w:spacing w:after="0"/>
              <w:rPr>
                <w:sz w:val="16"/>
                <w:szCs w:val="16"/>
                <w:color w:val="auto"/>
              </w:rPr>
            </w:pPr>
          </w:p>
        </w:tc>
        <w:tc>
          <w:tcPr>
            <w:tcW w:w="2780" w:type="dxa"/>
            <w:vAlign w:val="bottom"/>
            <w:gridSpan w:val="2"/>
          </w:tcPr>
          <w:p>
            <w:pPr>
              <w:ind w:left="140"/>
              <w:spacing w:after="0"/>
              <w:rPr>
                <w:sz w:val="20"/>
                <w:szCs w:val="20"/>
                <w:color w:val="auto"/>
              </w:rPr>
            </w:pPr>
            <w:r>
              <w:rPr>
                <w:rFonts w:ascii="Arial" w:cs="Arial" w:eastAsia="Arial" w:hAnsi="Arial"/>
                <w:sz w:val="16"/>
                <w:szCs w:val="16"/>
                <w:color w:val="auto"/>
              </w:rPr>
              <w:t>our independent registered public</w:t>
            </w:r>
          </w:p>
        </w:tc>
        <w:tc>
          <w:tcPr>
            <w:tcW w:w="0" w:type="dxa"/>
            <w:vAlign w:val="bottom"/>
          </w:tcPr>
          <w:p>
            <w:pPr>
              <w:spacing w:after="0"/>
              <w:rPr>
                <w:sz w:val="1"/>
                <w:szCs w:val="1"/>
                <w:color w:val="auto"/>
              </w:rPr>
            </w:pPr>
          </w:p>
        </w:tc>
      </w:tr>
      <w:tr>
        <w:trPr>
          <w:trHeight w:val="215"/>
        </w:trPr>
        <w:tc>
          <w:tcPr>
            <w:tcW w:w="2840" w:type="dxa"/>
            <w:vAlign w:val="bottom"/>
            <w:tcBorders>
              <w:right w:val="single" w:sz="8" w:color="BCBEC0"/>
            </w:tcBorders>
          </w:tcPr>
          <w:p>
            <w:pPr>
              <w:spacing w:after="0"/>
              <w:rPr>
                <w:sz w:val="18"/>
                <w:szCs w:val="18"/>
                <w:color w:val="auto"/>
              </w:rPr>
            </w:pPr>
          </w:p>
        </w:tc>
        <w:tc>
          <w:tcPr>
            <w:tcW w:w="1820" w:type="dxa"/>
            <w:vAlign w:val="bottom"/>
          </w:tcPr>
          <w:p>
            <w:pPr>
              <w:spacing w:after="0"/>
              <w:rPr>
                <w:sz w:val="18"/>
                <w:szCs w:val="18"/>
                <w:color w:val="auto"/>
              </w:rPr>
            </w:pPr>
          </w:p>
        </w:tc>
        <w:tc>
          <w:tcPr>
            <w:tcW w:w="1020" w:type="dxa"/>
            <w:vAlign w:val="bottom"/>
            <w:tcBorders>
              <w:right w:val="single" w:sz="8" w:color="BCBEC0"/>
            </w:tcBorders>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Borders>
              <w:right w:val="single" w:sz="8" w:color="BCBEC0"/>
            </w:tcBorders>
          </w:tcPr>
          <w:p>
            <w:pPr>
              <w:spacing w:after="0"/>
              <w:rPr>
                <w:sz w:val="18"/>
                <w:szCs w:val="18"/>
                <w:color w:val="auto"/>
              </w:rPr>
            </w:pPr>
          </w:p>
        </w:tc>
        <w:tc>
          <w:tcPr>
            <w:tcW w:w="1960" w:type="dxa"/>
            <w:vAlign w:val="bottom"/>
          </w:tcPr>
          <w:p>
            <w:pPr>
              <w:ind w:left="140"/>
              <w:spacing w:after="0"/>
              <w:rPr>
                <w:sz w:val="20"/>
                <w:szCs w:val="20"/>
                <w:color w:val="auto"/>
              </w:rPr>
            </w:pPr>
            <w:r>
              <w:rPr>
                <w:rFonts w:ascii="Arial" w:cs="Arial" w:eastAsia="Arial" w:hAnsi="Arial"/>
                <w:sz w:val="16"/>
                <w:szCs w:val="16"/>
                <w:color w:val="auto"/>
              </w:rPr>
              <w:t>accounting firm for 2026.</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840" w:type="dxa"/>
            <w:vAlign w:val="bottom"/>
            <w:tcBorders>
              <w:right w:val="single" w:sz="8" w:color="BCBEC0"/>
            </w:tcBorders>
          </w:tcPr>
          <w:p>
            <w:pPr>
              <w:spacing w:after="0"/>
              <w:rPr>
                <w:sz w:val="10"/>
                <w:szCs w:val="10"/>
                <w:color w:val="auto"/>
              </w:rPr>
            </w:pPr>
          </w:p>
        </w:tc>
        <w:tc>
          <w:tcPr>
            <w:tcW w:w="1820" w:type="dxa"/>
            <w:vAlign w:val="bottom"/>
          </w:tcPr>
          <w:p>
            <w:pPr>
              <w:spacing w:after="0"/>
              <w:rPr>
                <w:sz w:val="10"/>
                <w:szCs w:val="10"/>
                <w:color w:val="auto"/>
              </w:rPr>
            </w:pPr>
          </w:p>
        </w:tc>
        <w:tc>
          <w:tcPr>
            <w:tcW w:w="1020" w:type="dxa"/>
            <w:vAlign w:val="bottom"/>
            <w:tcBorders>
              <w:right w:val="single" w:sz="8" w:color="BCBEC0"/>
            </w:tcBorders>
          </w:tcPr>
          <w:p>
            <w:pPr>
              <w:spacing w:after="0"/>
              <w:rPr>
                <w:sz w:val="10"/>
                <w:szCs w:val="10"/>
                <w:color w:val="auto"/>
              </w:rPr>
            </w:pPr>
          </w:p>
        </w:tc>
        <w:tc>
          <w:tcPr>
            <w:tcW w:w="1720" w:type="dxa"/>
            <w:vAlign w:val="bottom"/>
          </w:tcPr>
          <w:p>
            <w:pPr>
              <w:spacing w:after="0"/>
              <w:rPr>
                <w:sz w:val="10"/>
                <w:szCs w:val="10"/>
                <w:color w:val="auto"/>
              </w:rPr>
            </w:pPr>
          </w:p>
        </w:tc>
        <w:tc>
          <w:tcPr>
            <w:tcW w:w="1060" w:type="dxa"/>
            <w:vAlign w:val="bottom"/>
            <w:tcBorders>
              <w:right w:val="single" w:sz="8" w:color="BCBEC0"/>
            </w:tcBorders>
          </w:tcPr>
          <w:p>
            <w:pPr>
              <w:spacing w:after="0"/>
              <w:rPr>
                <w:sz w:val="10"/>
                <w:szCs w:val="10"/>
                <w:color w:val="auto"/>
              </w:rPr>
            </w:pPr>
          </w:p>
        </w:tc>
        <w:tc>
          <w:tcPr>
            <w:tcW w:w="1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4"/>
        </w:trPr>
        <w:tc>
          <w:tcPr>
            <w:tcW w:w="2840" w:type="dxa"/>
            <w:vAlign w:val="bottom"/>
            <w:tcBorders>
              <w:right w:val="single" w:sz="8" w:color="BCBEC0"/>
            </w:tcBorders>
            <w:vMerge w:val="restart"/>
            <w:shd w:val="clear" w:color="auto" w:fill="F1F2F2"/>
          </w:tcPr>
          <w:p>
            <w:pPr>
              <w:ind w:left="180"/>
              <w:spacing w:after="0"/>
              <w:rPr>
                <w:sz w:val="20"/>
                <w:szCs w:val="20"/>
                <w:color w:val="auto"/>
              </w:rPr>
            </w:pPr>
            <w:r>
              <w:rPr>
                <w:rFonts w:ascii="Arial" w:cs="Arial" w:eastAsia="Arial" w:hAnsi="Arial"/>
                <w:sz w:val="16"/>
                <w:szCs w:val="16"/>
                <w:b w:val="1"/>
                <w:bCs w:val="1"/>
                <w:color w:val="auto"/>
              </w:rPr>
              <w:t>Board’s Voting</w:t>
            </w:r>
          </w:p>
        </w:tc>
        <w:tc>
          <w:tcPr>
            <w:tcW w:w="1820" w:type="dxa"/>
            <w:vAlign w:val="bottom"/>
            <w:shd w:val="clear" w:color="auto" w:fill="F1F2F2"/>
          </w:tcPr>
          <w:p>
            <w:pPr>
              <w:ind w:left="640"/>
              <w:spacing w:after="0"/>
              <w:rPr>
                <w:sz w:val="20"/>
                <w:szCs w:val="20"/>
                <w:color w:val="auto"/>
              </w:rPr>
            </w:pPr>
            <w:r>
              <w:rPr>
                <w:rFonts w:ascii="Arial" w:cs="Arial" w:eastAsia="Arial" w:hAnsi="Arial"/>
                <w:sz w:val="16"/>
                <w:szCs w:val="16"/>
                <w:b w:val="1"/>
                <w:bCs w:val="1"/>
                <w:color w:val="auto"/>
              </w:rPr>
              <w:t>FOR</w:t>
            </w:r>
          </w:p>
        </w:tc>
        <w:tc>
          <w:tcPr>
            <w:tcW w:w="1020" w:type="dxa"/>
            <w:vAlign w:val="bottom"/>
            <w:tcBorders>
              <w:right w:val="single" w:sz="8" w:color="BCBEC0"/>
            </w:tcBorders>
            <w:vMerge w:val="restart"/>
            <w:shd w:val="clear" w:color="auto" w:fill="F1F2F2"/>
          </w:tcPr>
          <w:p>
            <w:pPr>
              <w:ind w:left="200"/>
              <w:spacing w:after="0"/>
              <w:rPr>
                <w:sz w:val="20"/>
                <w:szCs w:val="20"/>
                <w:color w:val="auto"/>
              </w:rPr>
            </w:pPr>
            <w:r>
              <w:rPr>
                <w:rFonts w:ascii="Arial" w:cs="Arial" w:eastAsia="Arial" w:hAnsi="Arial"/>
                <w:sz w:val="16"/>
                <w:szCs w:val="16"/>
                <w:b w:val="1"/>
                <w:bCs w:val="1"/>
                <w:color w:val="auto"/>
              </w:rPr>
              <w:t>Page</w:t>
            </w:r>
          </w:p>
        </w:tc>
        <w:tc>
          <w:tcPr>
            <w:tcW w:w="1720" w:type="dxa"/>
            <w:vAlign w:val="bottom"/>
            <w:vMerge w:val="restart"/>
            <w:shd w:val="clear" w:color="auto" w:fill="F1F2F2"/>
          </w:tcPr>
          <w:p>
            <w:pPr>
              <w:ind w:left="620"/>
              <w:spacing w:after="0"/>
              <w:rPr>
                <w:sz w:val="20"/>
                <w:szCs w:val="20"/>
                <w:color w:val="auto"/>
              </w:rPr>
            </w:pPr>
            <w:r>
              <w:rPr>
                <w:rFonts w:ascii="Arial" w:cs="Arial" w:eastAsia="Arial" w:hAnsi="Arial"/>
                <w:sz w:val="16"/>
                <w:szCs w:val="16"/>
                <w:b w:val="1"/>
                <w:bCs w:val="1"/>
                <w:color w:val="auto"/>
              </w:rPr>
              <w:t>FOR</w:t>
            </w:r>
          </w:p>
        </w:tc>
        <w:tc>
          <w:tcPr>
            <w:tcW w:w="1060" w:type="dxa"/>
            <w:vAlign w:val="bottom"/>
            <w:tcBorders>
              <w:right w:val="single" w:sz="8" w:color="BCBEC0"/>
            </w:tcBorders>
            <w:vMerge w:val="restart"/>
            <w:shd w:val="clear" w:color="auto" w:fill="F1F2F2"/>
          </w:tcPr>
          <w:p>
            <w:pPr>
              <w:ind w:left="260"/>
              <w:spacing w:after="0"/>
              <w:rPr>
                <w:sz w:val="20"/>
                <w:szCs w:val="20"/>
                <w:color w:val="auto"/>
              </w:rPr>
            </w:pPr>
            <w:r>
              <w:rPr>
                <w:rFonts w:ascii="Arial" w:cs="Arial" w:eastAsia="Arial" w:hAnsi="Arial"/>
                <w:sz w:val="16"/>
                <w:szCs w:val="16"/>
                <w:b w:val="1"/>
                <w:bCs w:val="1"/>
                <w:color w:val="auto"/>
              </w:rPr>
              <w:t>Page</w:t>
            </w:r>
          </w:p>
        </w:tc>
        <w:tc>
          <w:tcPr>
            <w:tcW w:w="1960" w:type="dxa"/>
            <w:vAlign w:val="bottom"/>
            <w:vMerge w:val="restart"/>
            <w:shd w:val="clear" w:color="auto" w:fill="F1F2F2"/>
          </w:tcPr>
          <w:p>
            <w:pPr>
              <w:ind w:left="620"/>
              <w:spacing w:after="0"/>
              <w:rPr>
                <w:sz w:val="20"/>
                <w:szCs w:val="20"/>
                <w:color w:val="auto"/>
              </w:rPr>
            </w:pPr>
            <w:r>
              <w:rPr>
                <w:rFonts w:ascii="Arial" w:cs="Arial" w:eastAsia="Arial" w:hAnsi="Arial"/>
                <w:sz w:val="16"/>
                <w:szCs w:val="16"/>
                <w:b w:val="1"/>
                <w:bCs w:val="1"/>
                <w:color w:val="auto"/>
              </w:rPr>
              <w:t>FOR</w:t>
            </w:r>
          </w:p>
        </w:tc>
        <w:tc>
          <w:tcPr>
            <w:tcW w:w="820" w:type="dxa"/>
            <w:vAlign w:val="bottom"/>
            <w:vMerge w:val="restart"/>
            <w:shd w:val="clear" w:color="auto" w:fill="F1F2F2"/>
          </w:tcPr>
          <w:p>
            <w:pPr>
              <w:ind w:left="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68"/>
        </w:trPr>
        <w:tc>
          <w:tcPr>
            <w:tcW w:w="2840" w:type="dxa"/>
            <w:vAlign w:val="bottom"/>
            <w:tcBorders>
              <w:right w:val="single" w:sz="8" w:color="BCBEC0"/>
            </w:tcBorders>
            <w:vMerge w:val="continue"/>
            <w:shd w:val="clear" w:color="auto" w:fill="F1F2F2"/>
          </w:tcPr>
          <w:p>
            <w:pPr>
              <w:spacing w:after="0"/>
              <w:rPr>
                <w:sz w:val="5"/>
                <w:szCs w:val="5"/>
                <w:color w:val="auto"/>
              </w:rPr>
            </w:pPr>
          </w:p>
        </w:tc>
        <w:tc>
          <w:tcPr>
            <w:tcW w:w="1820" w:type="dxa"/>
            <w:vAlign w:val="bottom"/>
            <w:vMerge w:val="restart"/>
            <w:shd w:val="clear" w:color="auto" w:fill="F1F2F2"/>
          </w:tcPr>
          <w:p>
            <w:pPr>
              <w:ind w:left="640"/>
              <w:spacing w:after="0"/>
              <w:rPr>
                <w:sz w:val="20"/>
                <w:szCs w:val="20"/>
                <w:color w:val="auto"/>
              </w:rPr>
            </w:pPr>
            <w:r>
              <w:rPr>
                <w:rFonts w:ascii="Arial" w:cs="Arial" w:eastAsia="Arial" w:hAnsi="Arial"/>
                <w:sz w:val="16"/>
                <w:szCs w:val="16"/>
                <w:color w:val="auto"/>
              </w:rPr>
              <w:t>each</w:t>
            </w:r>
          </w:p>
        </w:tc>
        <w:tc>
          <w:tcPr>
            <w:tcW w:w="1020" w:type="dxa"/>
            <w:vAlign w:val="bottom"/>
            <w:tcBorders>
              <w:right w:val="single" w:sz="8" w:color="BCBEC0"/>
            </w:tcBorders>
            <w:vMerge w:val="continue"/>
            <w:shd w:val="clear" w:color="auto" w:fill="F1F2F2"/>
          </w:tcPr>
          <w:p>
            <w:pPr>
              <w:spacing w:after="0"/>
              <w:rPr>
                <w:sz w:val="5"/>
                <w:szCs w:val="5"/>
                <w:color w:val="auto"/>
              </w:rPr>
            </w:pPr>
          </w:p>
        </w:tc>
        <w:tc>
          <w:tcPr>
            <w:tcW w:w="1720" w:type="dxa"/>
            <w:vAlign w:val="bottom"/>
            <w:vMerge w:val="continue"/>
            <w:shd w:val="clear" w:color="auto" w:fill="F1F2F2"/>
          </w:tcPr>
          <w:p>
            <w:pPr>
              <w:spacing w:after="0"/>
              <w:rPr>
                <w:sz w:val="5"/>
                <w:szCs w:val="5"/>
                <w:color w:val="auto"/>
              </w:rPr>
            </w:pPr>
          </w:p>
        </w:tc>
        <w:tc>
          <w:tcPr>
            <w:tcW w:w="1060" w:type="dxa"/>
            <w:vAlign w:val="bottom"/>
            <w:tcBorders>
              <w:right w:val="single" w:sz="8" w:color="BCBEC0"/>
            </w:tcBorders>
            <w:vMerge w:val="continue"/>
            <w:shd w:val="clear" w:color="auto" w:fill="F1F2F2"/>
          </w:tcPr>
          <w:p>
            <w:pPr>
              <w:spacing w:after="0"/>
              <w:rPr>
                <w:sz w:val="5"/>
                <w:szCs w:val="5"/>
                <w:color w:val="auto"/>
              </w:rPr>
            </w:pPr>
          </w:p>
        </w:tc>
        <w:tc>
          <w:tcPr>
            <w:tcW w:w="1960" w:type="dxa"/>
            <w:vAlign w:val="bottom"/>
            <w:vMerge w:val="continue"/>
            <w:shd w:val="clear" w:color="auto" w:fill="F1F2F2"/>
          </w:tcPr>
          <w:p>
            <w:pPr>
              <w:spacing w:after="0"/>
              <w:rPr>
                <w:sz w:val="5"/>
                <w:szCs w:val="5"/>
                <w:color w:val="auto"/>
              </w:rPr>
            </w:pPr>
          </w:p>
        </w:tc>
        <w:tc>
          <w:tcPr>
            <w:tcW w:w="820" w:type="dxa"/>
            <w:vAlign w:val="bottom"/>
            <w:vMerge w:val="continue"/>
            <w:shd w:val="clear" w:color="auto" w:fill="F1F2F2"/>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840" w:type="dxa"/>
            <w:vAlign w:val="bottom"/>
            <w:tcBorders>
              <w:right w:val="single" w:sz="8" w:color="BCBEC0"/>
            </w:tcBorders>
            <w:vMerge w:val="restart"/>
            <w:shd w:val="clear" w:color="auto" w:fill="F1F2F2"/>
          </w:tcPr>
          <w:p>
            <w:pPr>
              <w:ind w:left="180"/>
              <w:spacing w:after="0"/>
              <w:rPr>
                <w:sz w:val="20"/>
                <w:szCs w:val="20"/>
                <w:color w:val="auto"/>
              </w:rPr>
            </w:pPr>
            <w:r>
              <w:rPr>
                <w:rFonts w:ascii="Arial" w:cs="Arial" w:eastAsia="Arial" w:hAnsi="Arial"/>
                <w:sz w:val="16"/>
                <w:szCs w:val="16"/>
                <w:b w:val="1"/>
                <w:bCs w:val="1"/>
                <w:color w:val="auto"/>
              </w:rPr>
              <w:t>Recommendation</w:t>
            </w:r>
          </w:p>
        </w:tc>
        <w:tc>
          <w:tcPr>
            <w:tcW w:w="1820" w:type="dxa"/>
            <w:vAlign w:val="bottom"/>
            <w:vMerge w:val="continue"/>
            <w:shd w:val="clear" w:color="auto" w:fill="F1F2F2"/>
          </w:tcPr>
          <w:p>
            <w:pPr>
              <w:spacing w:after="0"/>
              <w:rPr>
                <w:sz w:val="10"/>
                <w:szCs w:val="10"/>
                <w:color w:val="auto"/>
              </w:rPr>
            </w:pPr>
          </w:p>
        </w:tc>
        <w:tc>
          <w:tcPr>
            <w:tcW w:w="1020" w:type="dxa"/>
            <w:vAlign w:val="bottom"/>
            <w:tcBorders>
              <w:right w:val="single" w:sz="8" w:color="BCBEC0"/>
            </w:tcBorders>
            <w:vMerge w:val="restart"/>
            <w:shd w:val="clear" w:color="auto" w:fill="F1F2F2"/>
          </w:tcPr>
          <w:p>
            <w:pPr>
              <w:ind w:left="200"/>
              <w:spacing w:after="0"/>
              <w:rPr>
                <w:sz w:val="20"/>
                <w:szCs w:val="20"/>
                <w:color w:val="auto"/>
              </w:rPr>
            </w:pPr>
            <w:r>
              <w:rPr>
                <w:rFonts w:ascii="Arial" w:cs="Arial" w:eastAsia="Arial" w:hAnsi="Arial"/>
                <w:sz w:val="16"/>
                <w:szCs w:val="16"/>
                <w:b w:val="1"/>
                <w:bCs w:val="1"/>
                <w:color w:val="auto"/>
              </w:rPr>
              <w:t>14</w:t>
            </w:r>
          </w:p>
        </w:tc>
        <w:tc>
          <w:tcPr>
            <w:tcW w:w="1720" w:type="dxa"/>
            <w:vAlign w:val="bottom"/>
            <w:vMerge w:val="continue"/>
            <w:shd w:val="clear" w:color="auto" w:fill="F1F2F2"/>
          </w:tcPr>
          <w:p>
            <w:pPr>
              <w:spacing w:after="0"/>
              <w:rPr>
                <w:sz w:val="10"/>
                <w:szCs w:val="10"/>
                <w:color w:val="auto"/>
              </w:rPr>
            </w:pPr>
          </w:p>
        </w:tc>
        <w:tc>
          <w:tcPr>
            <w:tcW w:w="1060" w:type="dxa"/>
            <w:vAlign w:val="bottom"/>
            <w:tcBorders>
              <w:right w:val="single" w:sz="8" w:color="BCBEC0"/>
            </w:tcBorders>
            <w:vMerge w:val="restart"/>
            <w:shd w:val="clear" w:color="auto" w:fill="F1F2F2"/>
          </w:tcPr>
          <w:p>
            <w:pPr>
              <w:ind w:left="260"/>
              <w:spacing w:after="0"/>
              <w:rPr>
                <w:sz w:val="20"/>
                <w:szCs w:val="20"/>
                <w:color w:val="auto"/>
              </w:rPr>
            </w:pPr>
            <w:r>
              <w:rPr>
                <w:rFonts w:ascii="Arial" w:cs="Arial" w:eastAsia="Arial" w:hAnsi="Arial"/>
                <w:sz w:val="16"/>
                <w:szCs w:val="16"/>
                <w:b w:val="1"/>
                <w:bCs w:val="1"/>
                <w:color w:val="auto"/>
              </w:rPr>
              <w:t>35</w:t>
            </w:r>
          </w:p>
        </w:tc>
        <w:tc>
          <w:tcPr>
            <w:tcW w:w="1960" w:type="dxa"/>
            <w:vAlign w:val="bottom"/>
            <w:vMerge w:val="continue"/>
            <w:shd w:val="clear" w:color="auto" w:fill="F1F2F2"/>
          </w:tcPr>
          <w:p>
            <w:pPr>
              <w:spacing w:after="0"/>
              <w:rPr>
                <w:sz w:val="10"/>
                <w:szCs w:val="10"/>
                <w:color w:val="auto"/>
              </w:rPr>
            </w:pPr>
          </w:p>
        </w:tc>
        <w:tc>
          <w:tcPr>
            <w:tcW w:w="820" w:type="dxa"/>
            <w:vAlign w:val="bottom"/>
            <w:vMerge w:val="restart"/>
            <w:shd w:val="clear" w:color="auto" w:fill="F1F2F2"/>
          </w:tcPr>
          <w:p>
            <w:pPr>
              <w:ind w:left="40"/>
              <w:spacing w:after="0"/>
              <w:rPr>
                <w:sz w:val="20"/>
                <w:szCs w:val="20"/>
                <w:color w:val="auto"/>
              </w:rPr>
            </w:pPr>
            <w:r>
              <w:rPr>
                <w:rFonts w:ascii="Arial" w:cs="Arial" w:eastAsia="Arial" w:hAnsi="Arial"/>
                <w:sz w:val="16"/>
                <w:szCs w:val="16"/>
                <w:b w:val="1"/>
                <w:bCs w:val="1"/>
                <w:color w:val="auto"/>
              </w:rPr>
              <w:t>75</w:t>
            </w:r>
          </w:p>
        </w:tc>
        <w:tc>
          <w:tcPr>
            <w:tcW w:w="0" w:type="dxa"/>
            <w:vAlign w:val="bottom"/>
          </w:tcPr>
          <w:p>
            <w:pPr>
              <w:spacing w:after="0"/>
              <w:rPr>
                <w:sz w:val="1"/>
                <w:szCs w:val="1"/>
                <w:color w:val="auto"/>
              </w:rPr>
            </w:pPr>
          </w:p>
        </w:tc>
      </w:tr>
      <w:tr>
        <w:trPr>
          <w:trHeight w:val="101"/>
        </w:trPr>
        <w:tc>
          <w:tcPr>
            <w:tcW w:w="2840" w:type="dxa"/>
            <w:vAlign w:val="bottom"/>
            <w:tcBorders>
              <w:right w:val="single" w:sz="8" w:color="BCBEC0"/>
            </w:tcBorders>
            <w:vMerge w:val="continue"/>
            <w:shd w:val="clear" w:color="auto" w:fill="F1F2F2"/>
          </w:tcPr>
          <w:p>
            <w:pPr>
              <w:spacing w:after="0"/>
              <w:rPr>
                <w:sz w:val="8"/>
                <w:szCs w:val="8"/>
                <w:color w:val="auto"/>
              </w:rPr>
            </w:pPr>
          </w:p>
        </w:tc>
        <w:tc>
          <w:tcPr>
            <w:tcW w:w="1820" w:type="dxa"/>
            <w:vAlign w:val="bottom"/>
            <w:vMerge w:val="restart"/>
            <w:shd w:val="clear" w:color="auto" w:fill="F1F2F2"/>
          </w:tcPr>
          <w:p>
            <w:pPr>
              <w:ind w:left="640"/>
              <w:spacing w:after="0"/>
              <w:rPr>
                <w:sz w:val="20"/>
                <w:szCs w:val="20"/>
                <w:color w:val="auto"/>
              </w:rPr>
            </w:pPr>
            <w:r>
              <w:rPr>
                <w:rFonts w:ascii="Arial" w:cs="Arial" w:eastAsia="Arial" w:hAnsi="Arial"/>
                <w:sz w:val="16"/>
                <w:szCs w:val="16"/>
                <w:color w:val="auto"/>
              </w:rPr>
              <w:t>Nominee</w:t>
            </w:r>
          </w:p>
        </w:tc>
        <w:tc>
          <w:tcPr>
            <w:tcW w:w="1020" w:type="dxa"/>
            <w:vAlign w:val="bottom"/>
            <w:tcBorders>
              <w:right w:val="single" w:sz="8" w:color="BCBEC0"/>
            </w:tcBorders>
            <w:vMerge w:val="continue"/>
            <w:shd w:val="clear" w:color="auto" w:fill="F1F2F2"/>
          </w:tcPr>
          <w:p>
            <w:pPr>
              <w:spacing w:after="0"/>
              <w:rPr>
                <w:sz w:val="8"/>
                <w:szCs w:val="8"/>
                <w:color w:val="auto"/>
              </w:rPr>
            </w:pPr>
          </w:p>
        </w:tc>
        <w:tc>
          <w:tcPr>
            <w:tcW w:w="1720" w:type="dxa"/>
            <w:vAlign w:val="bottom"/>
            <w:shd w:val="clear" w:color="auto" w:fill="F1F2F2"/>
          </w:tcPr>
          <w:p>
            <w:pPr>
              <w:spacing w:after="0"/>
              <w:rPr>
                <w:sz w:val="8"/>
                <w:szCs w:val="8"/>
                <w:color w:val="auto"/>
              </w:rPr>
            </w:pPr>
          </w:p>
        </w:tc>
        <w:tc>
          <w:tcPr>
            <w:tcW w:w="1060" w:type="dxa"/>
            <w:vAlign w:val="bottom"/>
            <w:tcBorders>
              <w:right w:val="single" w:sz="8" w:color="BCBEC0"/>
            </w:tcBorders>
            <w:vMerge w:val="continue"/>
            <w:shd w:val="clear" w:color="auto" w:fill="F1F2F2"/>
          </w:tcPr>
          <w:p>
            <w:pPr>
              <w:spacing w:after="0"/>
              <w:rPr>
                <w:sz w:val="8"/>
                <w:szCs w:val="8"/>
                <w:color w:val="auto"/>
              </w:rPr>
            </w:pPr>
          </w:p>
        </w:tc>
        <w:tc>
          <w:tcPr>
            <w:tcW w:w="1960" w:type="dxa"/>
            <w:vAlign w:val="bottom"/>
            <w:shd w:val="clear" w:color="auto" w:fill="F1F2F2"/>
          </w:tcPr>
          <w:p>
            <w:pPr>
              <w:spacing w:after="0"/>
              <w:rPr>
                <w:sz w:val="8"/>
                <w:szCs w:val="8"/>
                <w:color w:val="auto"/>
              </w:rPr>
            </w:pPr>
          </w:p>
        </w:tc>
        <w:tc>
          <w:tcPr>
            <w:tcW w:w="820" w:type="dxa"/>
            <w:vAlign w:val="bottom"/>
            <w:vMerge w:val="continue"/>
            <w:shd w:val="clear" w:color="auto" w:fill="F1F2F2"/>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840" w:type="dxa"/>
            <w:vAlign w:val="bottom"/>
            <w:tcBorders>
              <w:right w:val="single" w:sz="8" w:color="BCBEC0"/>
            </w:tcBorders>
            <w:shd w:val="clear" w:color="auto" w:fill="F1F2F2"/>
          </w:tcPr>
          <w:p>
            <w:pPr>
              <w:spacing w:after="0"/>
              <w:rPr>
                <w:sz w:val="9"/>
                <w:szCs w:val="9"/>
                <w:color w:val="auto"/>
              </w:rPr>
            </w:pPr>
          </w:p>
        </w:tc>
        <w:tc>
          <w:tcPr>
            <w:tcW w:w="1820" w:type="dxa"/>
            <w:vAlign w:val="bottom"/>
            <w:vMerge w:val="continue"/>
            <w:shd w:val="clear" w:color="auto" w:fill="F1F2F2"/>
          </w:tcPr>
          <w:p>
            <w:pPr>
              <w:spacing w:after="0"/>
              <w:rPr>
                <w:sz w:val="9"/>
                <w:szCs w:val="9"/>
                <w:color w:val="auto"/>
              </w:rPr>
            </w:pPr>
          </w:p>
        </w:tc>
        <w:tc>
          <w:tcPr>
            <w:tcW w:w="1020" w:type="dxa"/>
            <w:vAlign w:val="bottom"/>
            <w:tcBorders>
              <w:right w:val="single" w:sz="8" w:color="BCBEC0"/>
            </w:tcBorders>
            <w:shd w:val="clear" w:color="auto" w:fill="F1F2F2"/>
          </w:tcPr>
          <w:p>
            <w:pPr>
              <w:spacing w:after="0"/>
              <w:rPr>
                <w:sz w:val="9"/>
                <w:szCs w:val="9"/>
                <w:color w:val="auto"/>
              </w:rPr>
            </w:pPr>
          </w:p>
        </w:tc>
        <w:tc>
          <w:tcPr>
            <w:tcW w:w="1720" w:type="dxa"/>
            <w:vAlign w:val="bottom"/>
            <w:shd w:val="clear" w:color="auto" w:fill="F1F2F2"/>
          </w:tcPr>
          <w:p>
            <w:pPr>
              <w:spacing w:after="0"/>
              <w:rPr>
                <w:sz w:val="9"/>
                <w:szCs w:val="9"/>
                <w:color w:val="auto"/>
              </w:rPr>
            </w:pPr>
          </w:p>
        </w:tc>
        <w:tc>
          <w:tcPr>
            <w:tcW w:w="1060" w:type="dxa"/>
            <w:vAlign w:val="bottom"/>
            <w:tcBorders>
              <w:right w:val="single" w:sz="8" w:color="BCBEC0"/>
            </w:tcBorders>
            <w:shd w:val="clear" w:color="auto" w:fill="F1F2F2"/>
          </w:tcPr>
          <w:p>
            <w:pPr>
              <w:spacing w:after="0"/>
              <w:rPr>
                <w:sz w:val="9"/>
                <w:szCs w:val="9"/>
                <w:color w:val="auto"/>
              </w:rPr>
            </w:pPr>
          </w:p>
        </w:tc>
        <w:tc>
          <w:tcPr>
            <w:tcW w:w="1960" w:type="dxa"/>
            <w:vAlign w:val="bottom"/>
            <w:shd w:val="clear" w:color="auto" w:fill="F1F2F2"/>
          </w:tcPr>
          <w:p>
            <w:pPr>
              <w:spacing w:after="0"/>
              <w:rPr>
                <w:sz w:val="9"/>
                <w:szCs w:val="9"/>
                <w:color w:val="auto"/>
              </w:rPr>
            </w:pPr>
          </w:p>
        </w:tc>
        <w:tc>
          <w:tcPr>
            <w:tcW w:w="820" w:type="dxa"/>
            <w:vAlign w:val="bottom"/>
            <w:shd w:val="clear" w:color="auto" w:fill="F1F2F2"/>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840" w:type="dxa"/>
            <w:vAlign w:val="bottom"/>
            <w:tcBorders>
              <w:right w:val="single" w:sz="8" w:color="BCBEC0"/>
            </w:tcBorders>
            <w:shd w:val="clear" w:color="auto" w:fill="F1F2F2"/>
          </w:tcPr>
          <w:p>
            <w:pPr>
              <w:spacing w:after="0"/>
              <w:rPr>
                <w:sz w:val="14"/>
                <w:szCs w:val="14"/>
                <w:color w:val="auto"/>
              </w:rPr>
            </w:pPr>
          </w:p>
        </w:tc>
        <w:tc>
          <w:tcPr>
            <w:tcW w:w="1820" w:type="dxa"/>
            <w:vAlign w:val="bottom"/>
            <w:shd w:val="clear" w:color="auto" w:fill="F1F2F2"/>
          </w:tcPr>
          <w:p>
            <w:pPr>
              <w:spacing w:after="0"/>
              <w:rPr>
                <w:sz w:val="14"/>
                <w:szCs w:val="14"/>
                <w:color w:val="auto"/>
              </w:rPr>
            </w:pPr>
          </w:p>
        </w:tc>
        <w:tc>
          <w:tcPr>
            <w:tcW w:w="1020" w:type="dxa"/>
            <w:vAlign w:val="bottom"/>
            <w:tcBorders>
              <w:right w:val="single" w:sz="8" w:color="BCBEC0"/>
            </w:tcBorders>
            <w:shd w:val="clear" w:color="auto" w:fill="F1F2F2"/>
          </w:tcPr>
          <w:p>
            <w:pPr>
              <w:spacing w:after="0"/>
              <w:rPr>
                <w:sz w:val="14"/>
                <w:szCs w:val="14"/>
                <w:color w:val="auto"/>
              </w:rPr>
            </w:pPr>
          </w:p>
        </w:tc>
        <w:tc>
          <w:tcPr>
            <w:tcW w:w="1720" w:type="dxa"/>
            <w:vAlign w:val="bottom"/>
            <w:shd w:val="clear" w:color="auto" w:fill="F1F2F2"/>
          </w:tcPr>
          <w:p>
            <w:pPr>
              <w:spacing w:after="0"/>
              <w:rPr>
                <w:sz w:val="14"/>
                <w:szCs w:val="14"/>
                <w:color w:val="auto"/>
              </w:rPr>
            </w:pPr>
          </w:p>
        </w:tc>
        <w:tc>
          <w:tcPr>
            <w:tcW w:w="1060" w:type="dxa"/>
            <w:vAlign w:val="bottom"/>
            <w:tcBorders>
              <w:right w:val="single" w:sz="8" w:color="BCBEC0"/>
            </w:tcBorders>
            <w:shd w:val="clear" w:color="auto" w:fill="F1F2F2"/>
          </w:tcPr>
          <w:p>
            <w:pPr>
              <w:spacing w:after="0"/>
              <w:rPr>
                <w:sz w:val="14"/>
                <w:szCs w:val="14"/>
                <w:color w:val="auto"/>
              </w:rPr>
            </w:pPr>
          </w:p>
        </w:tc>
        <w:tc>
          <w:tcPr>
            <w:tcW w:w="1960" w:type="dxa"/>
            <w:vAlign w:val="bottom"/>
            <w:shd w:val="clear" w:color="auto" w:fill="F1F2F2"/>
          </w:tcPr>
          <w:p>
            <w:pPr>
              <w:spacing w:after="0"/>
              <w:rPr>
                <w:sz w:val="14"/>
                <w:szCs w:val="14"/>
                <w:color w:val="auto"/>
              </w:rPr>
            </w:pPr>
          </w:p>
        </w:tc>
        <w:tc>
          <w:tcPr>
            <w:tcW w:w="820" w:type="dxa"/>
            <w:vAlign w:val="bottom"/>
            <w:shd w:val="clear" w:color="auto" w:fill="F1F2F2"/>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-402590</wp:posOffset>
            </wp:positionV>
            <wp:extent cx="197485" cy="2057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7485" cy="20574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-410845</wp:posOffset>
            </wp:positionV>
            <wp:extent cx="196850" cy="2057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6850" cy="20574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-410845</wp:posOffset>
            </wp:positionV>
            <wp:extent cx="196850"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205740"/>
                    </a:xfrm>
                    <a:prstGeom prst="rect">
                      <a:avLst/>
                    </a:prstGeom>
                    <a:noFill/>
                  </pic:spPr>
                </pic:pic>
              </a:graphicData>
            </a:graphic>
          </wp:anchor>
        </w:drawing>
      </w:r>
    </w:p>
    <w:p>
      <w:pPr>
        <w:spacing w:after="0" w:line="27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do not intend to present any business at the Annual Meeting other than the items described in the Proxy Statement, and we have no information that others intend to do so. The proxies appointed by our Board of Directors (and named on your Proxy Card) will vote all shares as the Board recommends above unless you instruct otherwise when you vote. If a matter not described in this Proxy Statement is properly presented at the Annual Meeting, the named proxies will have the discretion to vote your shares in their judgment. You may revoke your proxy at any time before the Annual Meeting. See Revocation of Proxy on page 80 for more information.</w:t>
      </w:r>
    </w:p>
    <w:p>
      <w:pPr>
        <w:spacing w:after="0" w:line="15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6</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 and Mission</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Hubbell is a global manufacturer of high quality, reliable electrical products and utility solutions for a broad range of customer and end-market applications in the Electrical and Utility Solutions segments. Hubbell is committed to doing business in ways that are principled, transparent, and accountable to our shareholders because it is the right way to operate and it generates long-term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2597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25971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460" w:right="6120"/>
        <w:spacing w:after="0" w:line="250" w:lineRule="auto"/>
        <w:rPr>
          <w:sz w:val="20"/>
          <w:szCs w:val="20"/>
          <w:color w:val="auto"/>
        </w:rPr>
      </w:pPr>
      <w:r>
        <w:rPr>
          <w:rFonts w:ascii="Arial" w:cs="Arial" w:eastAsia="Arial" w:hAnsi="Arial"/>
          <w:sz w:val="21"/>
          <w:szCs w:val="21"/>
          <w:color w:val="auto"/>
        </w:rPr>
        <w:t xml:space="preserve">Our Vision is to enable a </w:t>
      </w:r>
      <w:r>
        <w:rPr>
          <w:rFonts w:ascii="Arial" w:cs="Arial" w:eastAsia="Arial" w:hAnsi="Arial"/>
          <w:sz w:val="21"/>
          <w:szCs w:val="21"/>
          <w:b w:val="1"/>
          <w:bCs w:val="1"/>
          <w:color w:val="auto"/>
        </w:rPr>
        <w:t>Reliable, Resilient,</w:t>
      </w:r>
      <w:r>
        <w:rPr>
          <w:rFonts w:ascii="Arial" w:cs="Arial" w:eastAsia="Arial" w:hAnsi="Arial"/>
          <w:sz w:val="21"/>
          <w:szCs w:val="21"/>
          <w:color w:val="auto"/>
        </w:rPr>
        <w:t xml:space="preserve"> and </w:t>
      </w:r>
      <w:r>
        <w:rPr>
          <w:rFonts w:ascii="Arial" w:cs="Arial" w:eastAsia="Arial" w:hAnsi="Arial"/>
          <w:sz w:val="21"/>
          <w:szCs w:val="21"/>
          <w:b w:val="1"/>
          <w:bCs w:val="1"/>
          <w:color w:val="auto"/>
        </w:rPr>
        <w:t>Renewable</w:t>
      </w:r>
      <w:r>
        <w:rPr>
          <w:rFonts w:ascii="Arial" w:cs="Arial" w:eastAsia="Arial" w:hAnsi="Arial"/>
          <w:sz w:val="21"/>
          <w:szCs w:val="21"/>
          <w:color w:val="auto"/>
        </w:rPr>
        <w:t xml:space="preserve"> energy infrastructure built on a backbone of Hubbell solutions. Our Mission is to </w:t>
      </w:r>
      <w:r>
        <w:rPr>
          <w:rFonts w:ascii="Arial" w:cs="Arial" w:eastAsia="Arial" w:hAnsi="Arial"/>
          <w:sz w:val="21"/>
          <w:szCs w:val="21"/>
          <w:b w:val="1"/>
          <w:bCs w:val="1"/>
          <w:color w:val="auto"/>
        </w:rPr>
        <w:t xml:space="preserve">Electrify </w:t>
      </w:r>
      <w:r>
        <w:rPr>
          <w:rFonts w:ascii="Arial" w:cs="Arial" w:eastAsia="Arial" w:hAnsi="Arial"/>
          <w:sz w:val="21"/>
          <w:szCs w:val="21"/>
          <w:color w:val="auto"/>
        </w:rPr>
        <w:t>economies and</w:t>
      </w:r>
      <w:r>
        <w:rPr>
          <w:rFonts w:ascii="Arial" w:cs="Arial" w:eastAsia="Arial" w:hAnsi="Arial"/>
          <w:sz w:val="21"/>
          <w:szCs w:val="21"/>
          <w:b w:val="1"/>
          <w:bCs w:val="1"/>
          <w:color w:val="auto"/>
        </w:rPr>
        <w:t xml:space="preserve"> Energize </w:t>
      </w:r>
      <w:r>
        <w:rPr>
          <w:rFonts w:ascii="Arial" w:cs="Arial" w:eastAsia="Arial" w:hAnsi="Arial"/>
          <w:sz w:val="21"/>
          <w:szCs w:val="21"/>
          <w:color w:val="auto"/>
        </w:rPr>
        <w:t>communities.</w:t>
      </w:r>
      <w:r>
        <w:rPr>
          <w:rFonts w:ascii="Arial" w:cs="Arial" w:eastAsia="Arial" w:hAnsi="Arial"/>
          <w:sz w:val="21"/>
          <w:szCs w:val="21"/>
          <w:b w:val="1"/>
          <w:bCs w:val="1"/>
          <w:color w:val="auto"/>
        </w:rPr>
        <w:t xml:space="preserve"> </w:t>
      </w:r>
      <w:r>
        <w:rPr>
          <w:rFonts w:ascii="Arial" w:cs="Arial" w:eastAsia="Arial" w:hAnsi="Arial"/>
          <w:sz w:val="21"/>
          <w:szCs w:val="21"/>
          <w:color w:val="auto"/>
        </w:rPr>
        <w:t>Our Vision and Mission are underscored by four guiding pillars and six core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208280</wp:posOffset>
            </wp:positionV>
            <wp:extent cx="3566160" cy="12172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66160" cy="121729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7680"/>
        <w:spacing w:after="0"/>
        <w:rPr>
          <w:sz w:val="20"/>
          <w:szCs w:val="20"/>
          <w:color w:val="auto"/>
        </w:rPr>
      </w:pPr>
      <w:r>
        <w:rPr>
          <w:rFonts w:ascii="Arial" w:cs="Arial" w:eastAsia="Arial" w:hAnsi="Arial"/>
          <w:sz w:val="29"/>
          <w:szCs w:val="29"/>
          <w:b w:val="1"/>
          <w:bCs w:val="1"/>
          <w:color w:val="FFF51F"/>
        </w:rPr>
        <w:t>Our Values</w:t>
      </w:r>
    </w:p>
    <w:p>
      <w:pPr>
        <w:spacing w:after="0" w:line="106" w:lineRule="exact"/>
        <w:rPr>
          <w:sz w:val="20"/>
          <w:szCs w:val="20"/>
          <w:color w:val="auto"/>
        </w:rPr>
      </w:pPr>
    </w:p>
    <w:p>
      <w:pPr>
        <w:jc w:val="center"/>
        <w:ind w:left="5600"/>
        <w:spacing w:after="0"/>
        <w:rPr>
          <w:sz w:val="20"/>
          <w:szCs w:val="20"/>
          <w:color w:val="auto"/>
        </w:rPr>
      </w:pPr>
      <w:r>
        <w:rPr>
          <w:rFonts w:ascii="Arial" w:cs="Arial" w:eastAsia="Arial" w:hAnsi="Arial"/>
          <w:sz w:val="22"/>
          <w:szCs w:val="22"/>
          <w:color w:val="FFFFFF"/>
        </w:rPr>
        <w:t xml:space="preserve">Ethics </w:t>
      </w:r>
      <w:r>
        <w:rPr>
          <w:rFonts w:ascii="Arial" w:cs="Arial" w:eastAsia="Arial" w:hAnsi="Arial"/>
          <w:sz w:val="22"/>
          <w:szCs w:val="22"/>
          <w:color w:val="FFF51F"/>
        </w:rPr>
        <w:t>|</w:t>
      </w:r>
      <w:r>
        <w:rPr>
          <w:rFonts w:ascii="Arial" w:cs="Arial" w:eastAsia="Arial" w:hAnsi="Arial"/>
          <w:sz w:val="22"/>
          <w:szCs w:val="22"/>
          <w:color w:val="FFFFFF"/>
        </w:rPr>
        <w:t xml:space="preserve"> Inclusion</w:t>
      </w:r>
    </w:p>
    <w:p>
      <w:pPr>
        <w:spacing w:after="0" w:line="85" w:lineRule="exact"/>
        <w:rPr>
          <w:sz w:val="20"/>
          <w:szCs w:val="20"/>
          <w:color w:val="auto"/>
        </w:rPr>
      </w:pPr>
    </w:p>
    <w:p>
      <w:pPr>
        <w:jc w:val="center"/>
        <w:ind w:left="5600"/>
        <w:spacing w:after="0"/>
        <w:rPr>
          <w:sz w:val="20"/>
          <w:szCs w:val="20"/>
          <w:color w:val="auto"/>
        </w:rPr>
      </w:pPr>
      <w:r>
        <w:rPr>
          <w:rFonts w:ascii="Arial" w:cs="Arial" w:eastAsia="Arial" w:hAnsi="Arial"/>
          <w:sz w:val="22"/>
          <w:szCs w:val="22"/>
          <w:color w:val="FFFFFF"/>
        </w:rPr>
        <w:t xml:space="preserve">Accountability </w:t>
      </w:r>
      <w:r>
        <w:rPr>
          <w:rFonts w:ascii="Arial" w:cs="Arial" w:eastAsia="Arial" w:hAnsi="Arial"/>
          <w:sz w:val="22"/>
          <w:szCs w:val="22"/>
          <w:color w:val="FFF51F"/>
        </w:rPr>
        <w:t>|</w:t>
      </w:r>
      <w:r>
        <w:rPr>
          <w:rFonts w:ascii="Arial" w:cs="Arial" w:eastAsia="Arial" w:hAnsi="Arial"/>
          <w:sz w:val="22"/>
          <w:szCs w:val="22"/>
          <w:color w:val="FFFFFF"/>
        </w:rPr>
        <w:t xml:space="preserve"> Quality</w:t>
      </w:r>
    </w:p>
    <w:p>
      <w:pPr>
        <w:spacing w:after="0" w:line="85" w:lineRule="exact"/>
        <w:rPr>
          <w:sz w:val="20"/>
          <w:szCs w:val="20"/>
          <w:color w:val="auto"/>
        </w:rPr>
      </w:pPr>
    </w:p>
    <w:p>
      <w:pPr>
        <w:jc w:val="center"/>
        <w:ind w:left="5600"/>
        <w:spacing w:after="0"/>
        <w:rPr>
          <w:sz w:val="20"/>
          <w:szCs w:val="20"/>
          <w:color w:val="auto"/>
        </w:rPr>
      </w:pPr>
      <w:r>
        <w:rPr>
          <w:rFonts w:ascii="Arial" w:cs="Arial" w:eastAsia="Arial" w:hAnsi="Arial"/>
          <w:sz w:val="22"/>
          <w:szCs w:val="22"/>
          <w:color w:val="FFFFFF"/>
        </w:rPr>
        <w:t xml:space="preserve">Safety </w:t>
      </w:r>
      <w:r>
        <w:rPr>
          <w:rFonts w:ascii="Arial" w:cs="Arial" w:eastAsia="Arial" w:hAnsi="Arial"/>
          <w:sz w:val="22"/>
          <w:szCs w:val="22"/>
          <w:color w:val="FFF51F"/>
        </w:rPr>
        <w:t>|</w:t>
      </w:r>
      <w:r>
        <w:rPr>
          <w:rFonts w:ascii="Arial" w:cs="Arial" w:eastAsia="Arial" w:hAnsi="Arial"/>
          <w:sz w:val="22"/>
          <w:szCs w:val="22"/>
          <w:color w:val="FFFFFF"/>
        </w:rPr>
        <w:t xml:space="preserve"> Sustainability</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860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We achieved strong full year performance in 2025.</w:t>
      </w:r>
    </w:p>
    <w:p>
      <w:pPr>
        <w:spacing w:after="0" w:line="3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measure our progress not only in terms of our financial accomplishments, but also by looking at whether we served the best interests of our shareholders, suppliers, customers, employees, and the communities in which we operate.</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Summary</w:t>
      </w:r>
    </w:p>
    <w:p>
      <w:pPr>
        <w:spacing w:after="0" w:line="117" w:lineRule="exact"/>
        <w:rPr>
          <w:sz w:val="20"/>
          <w:szCs w:val="20"/>
          <w:color w:val="auto"/>
        </w:rPr>
      </w:pPr>
    </w:p>
    <w:tbl>
      <w:tblPr>
        <w:tblLayout w:type="fixed"/>
        <w:tblInd w:w="920" w:type="dxa"/>
        <w:tblCellMar>
          <w:top w:w="0" w:type="dxa"/>
          <w:left w:w="0" w:type="dxa"/>
          <w:bottom w:w="0" w:type="dxa"/>
          <w:right w:w="0" w:type="dxa"/>
        </w:tblCellMar>
      </w:tblPr>
      <w:tr>
        <w:trPr>
          <w:trHeight w:val="299"/>
        </w:trPr>
        <w:tc>
          <w:tcPr>
            <w:tcW w:w="224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4260" w:type="dxa"/>
            <w:vAlign w:val="bottom"/>
          </w:tcPr>
          <w:p>
            <w:pPr>
              <w:ind w:left="1480"/>
              <w:spacing w:after="0"/>
              <w:rPr>
                <w:sz w:val="20"/>
                <w:szCs w:val="20"/>
                <w:color w:val="auto"/>
              </w:rPr>
            </w:pPr>
            <w:r>
              <w:rPr>
                <w:rFonts w:ascii="Arial" w:cs="Arial" w:eastAsia="Arial" w:hAnsi="Arial"/>
                <w:sz w:val="16"/>
                <w:szCs w:val="16"/>
                <w:b w:val="1"/>
                <w:bCs w:val="1"/>
                <w:color w:val="auto"/>
              </w:rPr>
              <w:t>Adjusted Diluted</w:t>
            </w:r>
          </w:p>
        </w:tc>
        <w:tc>
          <w:tcPr>
            <w:tcW w:w="2500" w:type="dxa"/>
            <w:vAlign w:val="bottom"/>
          </w:tcPr>
          <w:p>
            <w:pPr>
              <w:ind w:left="1140"/>
              <w:spacing w:after="0"/>
              <w:rPr>
                <w:sz w:val="20"/>
                <w:szCs w:val="20"/>
                <w:color w:val="auto"/>
              </w:rPr>
            </w:pPr>
            <w:r>
              <w:rPr>
                <w:rFonts w:ascii="Arial" w:cs="Arial" w:eastAsia="Arial" w:hAnsi="Arial"/>
                <w:sz w:val="16"/>
                <w:szCs w:val="16"/>
                <w:b w:val="1"/>
                <w:bCs w:val="1"/>
                <w:color w:val="auto"/>
                <w:w w:val="96"/>
              </w:rPr>
              <w:t>Free Cash Flow</w:t>
            </w:r>
            <w:r>
              <w:rPr>
                <w:rFonts w:ascii="Arial" w:cs="Arial" w:eastAsia="Arial" w:hAnsi="Arial"/>
                <w:sz w:val="26"/>
                <w:szCs w:val="26"/>
                <w:b w:val="1"/>
                <w:bCs w:val="1"/>
                <w:color w:val="auto"/>
                <w:w w:val="96"/>
                <w:vertAlign w:val="superscript"/>
              </w:rPr>
              <w:t>(1)</w:t>
            </w:r>
          </w:p>
        </w:tc>
      </w:tr>
      <w:tr>
        <w:trPr>
          <w:trHeight w:val="369"/>
        </w:trPr>
        <w:tc>
          <w:tcPr>
            <w:tcW w:w="2240" w:type="dxa"/>
            <w:vAlign w:val="bottom"/>
          </w:tcPr>
          <w:p>
            <w:pPr>
              <w:spacing w:after="0"/>
              <w:rPr>
                <w:sz w:val="20"/>
                <w:szCs w:val="20"/>
                <w:color w:val="auto"/>
              </w:rPr>
            </w:pPr>
            <w:r>
              <w:rPr>
                <w:rFonts w:ascii="Arial" w:cs="Arial" w:eastAsia="Arial" w:hAnsi="Arial"/>
                <w:sz w:val="16"/>
                <w:szCs w:val="16"/>
                <w:color w:val="auto"/>
              </w:rPr>
              <w:t>($ Billions)</w:t>
            </w:r>
          </w:p>
        </w:tc>
        <w:tc>
          <w:tcPr>
            <w:tcW w:w="4260" w:type="dxa"/>
            <w:vAlign w:val="bottom"/>
          </w:tcPr>
          <w:p>
            <w:pPr>
              <w:ind w:left="1480"/>
              <w:spacing w:after="0"/>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26"/>
                <w:szCs w:val="26"/>
                <w:b w:val="1"/>
                <w:bCs w:val="1"/>
                <w:color w:val="auto"/>
                <w:vertAlign w:val="superscript"/>
              </w:rPr>
              <w:t>(1)</w:t>
            </w:r>
          </w:p>
        </w:tc>
        <w:tc>
          <w:tcPr>
            <w:tcW w:w="2500" w:type="dxa"/>
            <w:vAlign w:val="bottom"/>
          </w:tcPr>
          <w:p>
            <w:pPr>
              <w:ind w:left="1140"/>
              <w:spacing w:after="0"/>
              <w:rPr>
                <w:sz w:val="20"/>
                <w:szCs w:val="20"/>
                <w:color w:val="auto"/>
              </w:rPr>
            </w:pPr>
            <w:r>
              <w:rPr>
                <w:rFonts w:ascii="Arial" w:cs="Arial" w:eastAsia="Arial" w:hAnsi="Arial"/>
                <w:sz w:val="16"/>
                <w:szCs w:val="16"/>
                <w:color w:val="auto"/>
              </w:rPr>
              <w:t>($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297180</wp:posOffset>
            </wp:positionV>
            <wp:extent cx="1242695" cy="15944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42695" cy="159448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65405</wp:posOffset>
            </wp:positionV>
            <wp:extent cx="1242695" cy="1817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42695" cy="181737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288290</wp:posOffset>
            </wp:positionV>
            <wp:extent cx="1243330" cy="15944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4333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left="340" w:hanging="332"/>
        <w:spacing w:after="0" w:line="205" w:lineRule="auto"/>
        <w:tabs>
          <w:tab w:leader="none" w:pos="340" w:val="left"/>
        </w:tabs>
        <w:numPr>
          <w:ilvl w:val="0"/>
          <w:numId w:val="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diluted earnings per share and free cash flow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157"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color w:val="FFF51F"/>
        </w:rPr>
        <w:t>I</w:t>
      </w:r>
      <w:r>
        <w:rPr>
          <w:sz w:val="20"/>
          <w:szCs w:val="20"/>
          <w:color w:val="auto"/>
        </w:rPr>
        <w:tab/>
      </w:r>
      <w:r>
        <w:rPr>
          <w:rFonts w:ascii="Arial" w:cs="Arial" w:eastAsia="Arial" w:hAnsi="Arial"/>
          <w:sz w:val="14"/>
          <w:szCs w:val="14"/>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606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606040"/>
                    </a:xfrm>
                    <a:prstGeom prst="rect">
                      <a:avLst/>
                    </a:prstGeom>
                    <a:noFill/>
                  </pic:spPr>
                </pic:pic>
              </a:graphicData>
            </a:graphic>
          </wp:anchor>
        </w:drawing>
      </w:r>
    </w:p>
    <w:p>
      <w:pPr>
        <w:spacing w:after="0" w:line="354" w:lineRule="exact"/>
        <w:rPr>
          <w:sz w:val="20"/>
          <w:szCs w:val="20"/>
          <w:color w:val="auto"/>
        </w:rPr>
      </w:pPr>
    </w:p>
    <w:p>
      <w:pPr>
        <w:ind w:left="400"/>
        <w:spacing w:after="0"/>
        <w:rPr>
          <w:sz w:val="20"/>
          <w:szCs w:val="20"/>
          <w:color w:val="auto"/>
        </w:rPr>
      </w:pPr>
      <w:r>
        <w:rPr>
          <w:rFonts w:ascii="Arial" w:cs="Arial" w:eastAsia="Arial" w:hAnsi="Arial"/>
          <w:sz w:val="16"/>
          <w:szCs w:val="16"/>
          <w:b w:val="1"/>
          <w:bCs w:val="1"/>
          <w:color w:val="auto"/>
        </w:rPr>
        <w:t>We executed a disciplined plan of capital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auto"/>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231140" cy="2228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114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1200" cy="702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200" cy="702945"/>
                    </a:xfrm>
                    <a:prstGeom prst="rect">
                      <a:avLst/>
                    </a:prstGeom>
                    <a:noFill/>
                  </pic:spPr>
                </pic:pic>
              </a:graphicData>
            </a:graphic>
          </wp:anchor>
        </w:drawing>
      </w:r>
    </w:p>
    <w:p>
      <w:pPr>
        <w:spacing w:after="0" w:line="246" w:lineRule="exact"/>
        <w:rPr>
          <w:sz w:val="20"/>
          <w:szCs w:val="20"/>
          <w:color w:val="auto"/>
        </w:rPr>
      </w:pPr>
    </w:p>
    <w:p>
      <w:pPr>
        <w:ind w:left="1300"/>
        <w:spacing w:after="0"/>
        <w:rPr>
          <w:sz w:val="20"/>
          <w:szCs w:val="20"/>
          <w:color w:val="auto"/>
        </w:rPr>
      </w:pPr>
      <w:r>
        <w:rPr>
          <w:rFonts w:ascii="Arial" w:cs="Arial" w:eastAsia="Arial" w:hAnsi="Arial"/>
          <w:sz w:val="22"/>
          <w:szCs w:val="22"/>
          <w:b w:val="1"/>
          <w:bCs w:val="1"/>
          <w:color w:val="auto"/>
        </w:rPr>
        <w:t>Edward H. Baine</w:t>
      </w:r>
    </w:p>
    <w:p>
      <w:pPr>
        <w:spacing w:after="0" w:line="31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Board Committees:</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Compensation Committee, 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70485</wp:posOffset>
            </wp:positionV>
            <wp:extent cx="630936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09360" cy="26035"/>
                    </a:xfrm>
                    <a:prstGeom prst="rect">
                      <a:avLst/>
                    </a:prstGeom>
                    <a:noFill/>
                  </pic:spPr>
                </pic:pic>
              </a:graphicData>
            </a:graphic>
          </wp:anchor>
        </w:drawing>
      </w: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August 29, 2025, the Board of Directors appointed Edward H. Baine to the Board and added him to the Board’s Compensation and Finance Committees. Mr. Baine is Executive Vice President—Utility Operations and President—Dominion Energy Virginia at Dominion Energy, Inc. He is also a member of the boards of Dominion Energy South Carolina, Inc. (DESC) and Virginia Electric and Power Company (VEPC). Prior to becoming Executive Vice President— Utility Operations and President—Dominion Energy Virginia, Mr. Baine held positions of increasing responsibility at Dominion Energy, Inc. for over 30 years.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Board remains committed to bringing on new talent; its focus on Board refreshment has yielded five new Directors since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6429375" cy="5143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293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b w:val="1"/>
          <w:bCs w:val="1"/>
          <w:color w:val="auto"/>
        </w:rPr>
        <w:t>8</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auto"/>
        </w:rPr>
        <w:t>Chief Financial Officer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231140" cy="2228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1140"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11200" cy="7029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70294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153035</wp:posOffset>
            </wp:positionV>
            <wp:extent cx="711200" cy="7029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200" cy="702945"/>
                    </a:xfrm>
                    <a:prstGeom prst="rect">
                      <a:avLst/>
                    </a:prstGeom>
                    <a:noFill/>
                  </pic:spPr>
                </pic:pic>
              </a:graphicData>
            </a:graphic>
          </wp:anchor>
        </w:drawing>
      </w:r>
    </w:p>
    <w:p>
      <w:pPr>
        <w:spacing w:after="0" w:line="246" w:lineRule="exact"/>
        <w:rPr>
          <w:sz w:val="20"/>
          <w:szCs w:val="20"/>
          <w:color w:val="auto"/>
        </w:rPr>
      </w:pPr>
    </w:p>
    <w:p>
      <w:pPr>
        <w:ind w:left="1300"/>
        <w:spacing w:after="0"/>
        <w:tabs>
          <w:tab w:leader="none" w:pos="6220" w:val="left"/>
        </w:tabs>
        <w:rPr>
          <w:sz w:val="20"/>
          <w:szCs w:val="20"/>
          <w:color w:val="auto"/>
        </w:rPr>
      </w:pPr>
      <w:r>
        <w:rPr>
          <w:rFonts w:ascii="Arial" w:cs="Arial" w:eastAsia="Arial" w:hAnsi="Arial"/>
          <w:sz w:val="22"/>
          <w:szCs w:val="22"/>
          <w:b w:val="1"/>
          <w:bCs w:val="1"/>
          <w:color w:val="auto"/>
        </w:rPr>
        <w:t>William R. Sperry</w:t>
      </w:r>
      <w:r>
        <w:rPr>
          <w:sz w:val="20"/>
          <w:szCs w:val="20"/>
          <w:color w:val="auto"/>
        </w:rPr>
        <w:tab/>
      </w:r>
      <w:r>
        <w:rPr>
          <w:rFonts w:ascii="Arial" w:cs="Arial" w:eastAsia="Arial" w:hAnsi="Arial"/>
          <w:sz w:val="21"/>
          <w:szCs w:val="21"/>
          <w:b w:val="1"/>
          <w:bCs w:val="1"/>
          <w:color w:val="auto"/>
        </w:rPr>
        <w:t>Joseph A. Capozzoli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517525</wp:posOffset>
            </wp:positionV>
            <wp:extent cx="630936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0936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September 10, 2025, Hubbell announced the retirement of William R. Sperry from his role as Chief Financial Officer of Hubbell effective December 31, 2025, after 17 years of distinguished service to the Company, including 14 years as Chief Financial Officer. Joseph A. Capozzoli, the Vice President, Finance of Hubbell’s Electrical Solutions segment was appointed to succeed Mr. Sperry as Senior Vice President, Chief Financial Officer, effective on January 1, 2026. Mr. Capozzoli joined Hubbell in 2013 as the Company’s Vice President, Controller and served as Hubbell’s Principal Accounting Officer until January 14, 2021. Mr. Capozzoli then served in various senior finance, strategy, and operational roles prior to his HES segment finance role. Mr. Capozzoli’s promotion to Chief Financial Officer reflects Hubbell’s overall commitment to its talent development strategy and its focus on succession planning.</w:t>
      </w:r>
    </w:p>
    <w:p>
      <w:pPr>
        <w:spacing w:after="0" w:line="256" w:lineRule="exact"/>
        <w:rPr>
          <w:sz w:val="20"/>
          <w:szCs w:val="20"/>
          <w:color w:val="auto"/>
        </w:rPr>
      </w:pPr>
    </w:p>
    <w:p>
      <w:pPr>
        <w:ind w:left="540"/>
        <w:spacing w:after="0"/>
        <w:rPr>
          <w:sz w:val="20"/>
          <w:szCs w:val="20"/>
          <w:color w:val="auto"/>
        </w:rPr>
      </w:pPr>
      <w:r>
        <w:rPr>
          <w:rFonts w:ascii="Arial" w:cs="Arial" w:eastAsia="Arial" w:hAnsi="Arial"/>
          <w:sz w:val="29"/>
          <w:szCs w:val="29"/>
          <w:b w:val="1"/>
          <w:bCs w:val="1"/>
          <w:color w:val="auto"/>
        </w:rPr>
        <w:t>Acquisitions and Portfolio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231140" cy="2228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31140" cy="222885"/>
                    </a:xfrm>
                    <a:prstGeom prst="rect">
                      <a:avLst/>
                    </a:prstGeom>
                    <a:noFill/>
                  </pic:spPr>
                </pic:pic>
              </a:graphicData>
            </a:graphic>
          </wp:anchor>
        </w:drawing>
      </w:r>
    </w:p>
    <w:p>
      <w:pPr>
        <w:spacing w:after="0" w:line="207" w:lineRule="exact"/>
        <w:rPr>
          <w:sz w:val="20"/>
          <w:szCs w:val="20"/>
          <w:color w:val="auto"/>
        </w:rPr>
      </w:pPr>
    </w:p>
    <w:p>
      <w:pPr>
        <w:ind w:right="420"/>
        <w:spacing w:after="0" w:line="266" w:lineRule="auto"/>
        <w:rPr>
          <w:sz w:val="20"/>
          <w:szCs w:val="20"/>
          <w:color w:val="auto"/>
        </w:rPr>
      </w:pPr>
      <w:r>
        <w:rPr>
          <w:rFonts w:ascii="Arial" w:cs="Arial" w:eastAsia="Arial" w:hAnsi="Arial"/>
          <w:sz w:val="16"/>
          <w:szCs w:val="16"/>
          <w:color w:val="auto"/>
        </w:rPr>
        <w:t>Hubbell has a proven track record of successfully acquiring and integrating businesses to create a focused portfolio with attractive growth and margin characteristics. In 2025, Hubbell continued its focus on growth by completing the three acquisitions noted below and also closing on the disposition of a product line (Metron) no longer core to Hubbell’s overall product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ind w:left="1100"/>
        <w:spacing w:after="0"/>
        <w:tabs>
          <w:tab w:leader="none" w:pos="5120" w:val="left"/>
          <w:tab w:leader="none" w:pos="8900" w:val="left"/>
        </w:tabs>
        <w:rPr>
          <w:sz w:val="20"/>
          <w:szCs w:val="20"/>
          <w:color w:val="auto"/>
        </w:rPr>
      </w:pPr>
      <w:r>
        <w:rPr>
          <w:rFonts w:ascii="Arial" w:cs="Arial" w:eastAsia="Arial" w:hAnsi="Arial"/>
          <w:sz w:val="16"/>
          <w:szCs w:val="16"/>
          <w:b w:val="1"/>
          <w:bCs w:val="1"/>
          <w:color w:val="auto"/>
        </w:rPr>
        <w:t>DMC Power (HUS)</w:t>
      </w:r>
      <w:r>
        <w:rPr>
          <w:sz w:val="20"/>
          <w:szCs w:val="20"/>
          <w:color w:val="auto"/>
        </w:rPr>
        <w:tab/>
      </w:r>
      <w:r>
        <w:rPr>
          <w:rFonts w:ascii="Arial" w:cs="Arial" w:eastAsia="Arial" w:hAnsi="Arial"/>
          <w:sz w:val="16"/>
          <w:szCs w:val="16"/>
          <w:b w:val="1"/>
          <w:bCs w:val="1"/>
          <w:color w:val="auto"/>
        </w:rPr>
        <w:t>Nicor (HUS)</w:t>
      </w:r>
      <w:r>
        <w:rPr>
          <w:sz w:val="20"/>
          <w:szCs w:val="20"/>
          <w:color w:val="auto"/>
        </w:rPr>
        <w:tab/>
      </w:r>
      <w:r>
        <w:rPr>
          <w:rFonts w:ascii="Arial" w:cs="Arial" w:eastAsia="Arial" w:hAnsi="Arial"/>
          <w:sz w:val="15"/>
          <w:szCs w:val="15"/>
          <w:b w:val="1"/>
          <w:bCs w:val="1"/>
          <w:color w:val="auto"/>
        </w:rPr>
        <w:t>Ventev (HES)</w:t>
      </w:r>
    </w:p>
    <w:p>
      <w:pPr>
        <w:sectPr>
          <w:pgSz w:w="11900" w:h="16838" w:orient="portrait"/>
          <w:cols w:equalWidth="0" w:num="1">
            <w:col w:w="11240"/>
          </w:cols>
          <w:pgMar w:left="320" w:top="238" w:right="339" w:bottom="1440" w:gutter="0" w:footer="0" w:header="0"/>
        </w:sectPr>
      </w:pPr>
    </w:p>
    <w:p>
      <w:pPr>
        <w:spacing w:after="0" w:line="8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Manufacturer of swaged connection systems which are primarily used in high-voltage power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220345</wp:posOffset>
            </wp:positionV>
            <wp:extent cx="737235" cy="6172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7235" cy="617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Manufacturer of innovative endpoint solutions that integrate automated meter reading and advanced metering infrastructure networks for the water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198755</wp:posOffset>
            </wp:positionV>
            <wp:extent cx="1225550" cy="419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25550" cy="419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Manufacturer and provider of a complete ecosystem of solutions to power, protect, and connect wireless networks for the communications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301625</wp:posOffset>
            </wp:positionV>
            <wp:extent cx="1200150" cy="2228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340" w:space="480"/>
            <w:col w:w="3300" w:space="480"/>
            <w:col w:w="36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Sustainability</w:t>
      </w:r>
    </w:p>
    <w:p>
      <w:pPr>
        <w:spacing w:after="0" w:line="213"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200150" cy="908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0" cy="908685"/>
                    </a:xfrm>
                    <a:prstGeom prst="rect">
                      <a:avLst/>
                    </a:prstGeom>
                    <a:noFill/>
                  </pic:spPr>
                </pic:pic>
              </a:graphicData>
            </a:graphic>
          </wp:anchor>
        </w:drawing>
      </w:r>
    </w:p>
    <w:p>
      <w:pPr>
        <w:spacing w:after="0" w:line="80" w:lineRule="exact"/>
        <w:rPr>
          <w:sz w:val="20"/>
          <w:szCs w:val="20"/>
          <w:color w:val="auto"/>
        </w:rPr>
      </w:pPr>
    </w:p>
    <w:p>
      <w:pPr>
        <w:ind w:left="2040" w:right="20"/>
        <w:spacing w:after="0" w:line="255" w:lineRule="auto"/>
        <w:rPr>
          <w:sz w:val="20"/>
          <w:szCs w:val="20"/>
          <w:color w:val="auto"/>
        </w:rPr>
      </w:pPr>
      <w:r>
        <w:rPr>
          <w:rFonts w:ascii="Arial" w:cs="Arial" w:eastAsia="Arial" w:hAnsi="Arial"/>
          <w:sz w:val="16"/>
          <w:szCs w:val="16"/>
          <w:color w:val="auto"/>
        </w:rPr>
        <w:t xml:space="preserve">Hubbell publishes an annual sustainability report (available at </w:t>
      </w:r>
      <w:r>
        <w:rPr>
          <w:rFonts w:ascii="Arial" w:cs="Arial" w:eastAsia="Arial" w:hAnsi="Arial"/>
          <w:sz w:val="16"/>
          <w:szCs w:val="16"/>
          <w:b w:val="1"/>
          <w:bCs w:val="1"/>
          <w:color w:val="auto"/>
        </w:rPr>
        <w:t>https://sustainability.hubbell.com</w:t>
      </w:r>
      <w:r>
        <w:rPr>
          <w:rFonts w:ascii="Arial" w:cs="Arial" w:eastAsia="Arial" w:hAnsi="Arial"/>
          <w:sz w:val="16"/>
          <w:szCs w:val="16"/>
          <w:color w:val="auto"/>
        </w:rPr>
        <w:t>) that details our commitments to sustainability, human capital management, compliance, and ethics. Explore the 2026 Sustainability Report (available at</w:t>
      </w:r>
    </w:p>
    <w:p>
      <w:pPr>
        <w:ind w:left="2040"/>
        <w:spacing w:after="0"/>
        <w:rPr>
          <w:sz w:val="20"/>
          <w:szCs w:val="20"/>
          <w:color w:val="auto"/>
        </w:rPr>
      </w:pPr>
      <w:r>
        <w:rPr>
          <w:rFonts w:ascii="Arial" w:cs="Arial" w:eastAsia="Arial" w:hAnsi="Arial"/>
          <w:sz w:val="16"/>
          <w:szCs w:val="16"/>
          <w:b w:val="1"/>
          <w:bCs w:val="1"/>
          <w:color w:val="auto"/>
        </w:rPr>
        <w:t>www.hubbell.com</w:t>
      </w:r>
      <w:r>
        <w:rPr>
          <w:rFonts w:ascii="Arial" w:cs="Arial" w:eastAsia="Arial" w:hAnsi="Arial"/>
          <w:sz w:val="16"/>
          <w:szCs w:val="16"/>
          <w:color w:val="auto"/>
        </w:rPr>
        <w:t>), to learn more about our sustainability aspirations and accomplishments.</w:t>
      </w:r>
      <w:r>
        <w:rPr>
          <w:rFonts w:ascii="Arial" w:cs="Arial" w:eastAsia="Arial" w:hAnsi="Arial"/>
          <w:sz w:val="26"/>
          <w:szCs w:val="26"/>
          <w:color w:val="auto"/>
          <w:vertAlign w:val="superscript"/>
        </w:rPr>
        <w:t>(1)</w:t>
      </w:r>
    </w:p>
    <w:p>
      <w:pPr>
        <w:spacing w:after="0" w:line="200" w:lineRule="exact"/>
        <w:rPr>
          <w:sz w:val="20"/>
          <w:szCs w:val="20"/>
          <w:color w:val="auto"/>
        </w:rPr>
      </w:pPr>
    </w:p>
    <w:p>
      <w:pPr>
        <w:spacing w:after="0" w:line="352" w:lineRule="exact"/>
        <w:rPr>
          <w:sz w:val="20"/>
          <w:szCs w:val="20"/>
          <w:color w:val="auto"/>
        </w:rPr>
      </w:pPr>
    </w:p>
    <w:p>
      <w:pPr>
        <w:ind w:left="2040"/>
        <w:spacing w:after="0"/>
        <w:rPr>
          <w:sz w:val="20"/>
          <w:szCs w:val="20"/>
          <w:color w:val="auto"/>
        </w:rPr>
      </w:pPr>
      <w:r>
        <w:rPr>
          <w:rFonts w:ascii="Arial" w:cs="Arial" w:eastAsia="Arial" w:hAnsi="Arial"/>
          <w:sz w:val="16"/>
          <w:szCs w:val="16"/>
          <w:b w:val="1"/>
          <w:bCs w:val="1"/>
          <w:color w:val="auto"/>
        </w:rPr>
        <w:t>Recognized as one of the World’s Most Ethical Companies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1200150" cy="8572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0" cy="857250"/>
                    </a:xfrm>
                    <a:prstGeom prst="rect">
                      <a:avLst/>
                    </a:prstGeom>
                    <a:noFill/>
                  </pic:spPr>
                </pic:pic>
              </a:graphicData>
            </a:graphic>
          </wp:anchor>
        </w:drawing>
      </w:r>
    </w:p>
    <w:p>
      <w:pPr>
        <w:spacing w:after="0" w:line="80" w:lineRule="exact"/>
        <w:rPr>
          <w:sz w:val="20"/>
          <w:szCs w:val="20"/>
          <w:color w:val="auto"/>
        </w:rPr>
      </w:pPr>
    </w:p>
    <w:p>
      <w:pPr>
        <w:ind w:left="2040"/>
        <w:spacing w:after="0" w:line="286" w:lineRule="auto"/>
        <w:rPr>
          <w:sz w:val="20"/>
          <w:szCs w:val="20"/>
          <w:color w:val="auto"/>
        </w:rPr>
      </w:pPr>
      <w:r>
        <w:rPr>
          <w:rFonts w:ascii="Arial" w:cs="Arial" w:eastAsia="Arial" w:hAnsi="Arial"/>
          <w:sz w:val="16"/>
          <w:szCs w:val="16"/>
          <w:color w:val="auto"/>
        </w:rPr>
        <w:t>For the sixth year in a row, Hubbell was recognized by the Ethisphere Institute as one of the 2026 World’s Most Ethical Companies. This distinction reflects our organization-wide commitment to compliance and sustaining an ethical culture.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You can find more information about our sustainability goals and priorities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81" w:lineRule="exact"/>
        <w:rPr>
          <w:sz w:val="20"/>
          <w:szCs w:val="20"/>
          <w:color w:val="auto"/>
        </w:rPr>
      </w:pPr>
    </w:p>
    <w:p>
      <w:pPr>
        <w:jc w:val="both"/>
        <w:ind w:left="300" w:hanging="292"/>
        <w:spacing w:after="0" w:line="213" w:lineRule="auto"/>
        <w:tabs>
          <w:tab w:leader="none" w:pos="300" w:val="left"/>
        </w:tabs>
        <w:numPr>
          <w:ilvl w:val="0"/>
          <w:numId w:val="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information in the 2026 Sustainability Report and any other information on our sustainability webpage or elsewhere on our website referred to in this Proxy Statement is not incorporated by reference into and does not form any part of this Proxy Statement. Any targets or goals discussed in our sustainability disclosures may be aspirational; no guarantees or promises are made that these goals will be met. Furthermore, statistics and metrics disclosed in this Proxy Statement, our sustainability reports, and Hubbell’s sustainability webpage are estimates and may be based on assumptions. We are under no obligation to update such information.</w:t>
      </w:r>
    </w:p>
    <w:p>
      <w:pPr>
        <w:spacing w:after="0" w:line="157" w:lineRule="exact"/>
        <w:rPr>
          <w:sz w:val="20"/>
          <w:szCs w:val="20"/>
          <w:color w:val="auto"/>
        </w:rPr>
      </w:pPr>
    </w:p>
    <w:p>
      <w:pPr>
        <w:ind w:left="8860"/>
        <w:spacing w:after="0"/>
        <w:tabs>
          <w:tab w:leader="none" w:pos="111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color w:val="FFF51F"/>
        </w:rPr>
        <w:t>I</w:t>
      </w:r>
      <w:r>
        <w:rPr>
          <w:sz w:val="20"/>
          <w:szCs w:val="20"/>
          <w:color w:val="auto"/>
        </w:rPr>
        <w:tab/>
      </w:r>
      <w:r>
        <w:rPr>
          <w:rFonts w:ascii="Arial" w:cs="Arial" w:eastAsia="Arial" w:hAnsi="Arial"/>
          <w:sz w:val="14"/>
          <w:szCs w:val="14"/>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4"/>
          <w:szCs w:val="14"/>
          <w:b w:val="1"/>
          <w:bCs w:val="1"/>
          <w:u w:val="single" w:color="auto"/>
          <w:color w:val="0000EE"/>
        </w:rPr>
        <w:t>Back to Contents</w:t>
      </w:r>
    </w:p>
    <w:p>
      <w:pPr>
        <w:sectPr>
          <w:pgSz w:w="11900" w:h="16838" w:orient="portrait"/>
          <w:cols w:equalWidth="0" w:num="1">
            <w:col w:w="11240"/>
          </w:cols>
          <w:pgMar w:left="320" w:top="238" w:right="3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 1:</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color w:val="auto"/>
        </w:rPr>
        <w:t>Election of 11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See pages </w:t>
      </w:r>
      <w:r>
        <w:rPr>
          <w:rFonts w:ascii="Arial" w:cs="Arial" w:eastAsia="Arial" w:hAnsi="Arial"/>
          <w:sz w:val="16"/>
          <w:szCs w:val="16"/>
          <w:b w:val="1"/>
          <w:bCs w:val="1"/>
          <w:color w:val="auto"/>
        </w:rPr>
        <w:t>14-22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further information.</w:t>
      </w:r>
    </w:p>
    <w:p>
      <w:pPr>
        <w:spacing w:after="0" w:line="178" w:lineRule="exact"/>
        <w:rPr>
          <w:sz w:val="20"/>
          <w:szCs w:val="20"/>
          <w:color w:val="auto"/>
        </w:rPr>
      </w:pPr>
    </w:p>
    <w:p>
      <w:pPr>
        <w:sectPr>
          <w:pgSz w:w="11900" w:h="16838" w:orient="portrait"/>
          <w:cols w:equalWidth="0" w:num="2">
            <w:col w:w="8920" w:space="720"/>
            <w:col w:w="1600"/>
          </w:cols>
          <w:pgMar w:left="320" w:top="238" w:right="339" w:bottom="1440" w:gutter="0" w:footer="0" w:header="0"/>
          <w:type w:val="continuous"/>
        </w:sectPr>
      </w:pPr>
    </w:p>
    <w:p>
      <w:pPr>
        <w:jc w:val="both"/>
        <w:spacing w:after="0" w:line="259" w:lineRule="auto"/>
        <w:rPr>
          <w:sz w:val="20"/>
          <w:szCs w:val="20"/>
          <w:color w:val="auto"/>
        </w:rPr>
      </w:pPr>
      <w:r>
        <w:rPr>
          <w:rFonts w:ascii="Arial" w:cs="Arial" w:eastAsia="Arial" w:hAnsi="Arial"/>
          <w:sz w:val="16"/>
          <w:szCs w:val="16"/>
          <w:color w:val="auto"/>
        </w:rPr>
        <w:t>The following table provides summary information about each of our eleven Director nominees. Currently, each Director is elected annually by a majority of votes cast in an uncontested election; a plurality standard applies in a contested election (where the number of nominees for Director exceeds the number of Directors to be elected). Each nominee is a current Director of the Company and has the qualifications and experience recommended by the Board’s Nominating and Corporate Governance Committee (“NCGC”).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3860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33"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The Board recommends a vote for each nominee for a one</w:t>
      </w:r>
      <w:r>
        <w:rPr>
          <w:rFonts w:ascii="Arial" w:cs="Arial" w:eastAsia="Arial" w:hAnsi="Arial"/>
          <w:sz w:val="16"/>
          <w:szCs w:val="16"/>
          <w:color w:val="auto"/>
        </w:rPr>
        <w:t>-</w:t>
      </w:r>
      <w:r>
        <w:rPr>
          <w:rFonts w:ascii="Arial" w:cs="Arial" w:eastAsia="Arial" w:hAnsi="Arial"/>
          <w:sz w:val="16"/>
          <w:szCs w:val="16"/>
          <w:b w:val="1"/>
          <w:bCs w:val="1"/>
          <w:color w:val="auto"/>
        </w:rPr>
        <w:t>year term.</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Director Nominees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Edward H. Baine</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Anthony J. Guzzi</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John F. Malloy</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Age: 52</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Age: 61</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Age: 71</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INDEPENDENT</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INDEPENDENT</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INDEPENDENT</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color w:val="auto"/>
              </w:rPr>
              <w:t>EVP, Utility Operations and</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LEAD DIRECTOR</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color w:val="auto"/>
              </w:rPr>
              <w:t>Chairman, Retired President and CEO,</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color w:val="auto"/>
              </w:rPr>
              <w:t>President, Dominion Energy Virginia</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color w:val="auto"/>
              </w:rPr>
              <w:t>Chairman, President and CEO,</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color w:val="auto"/>
              </w:rPr>
              <w:t>Victaulic Company</w:t>
            </w:r>
          </w:p>
        </w:tc>
      </w:tr>
      <w:tr>
        <w:trPr>
          <w:trHeight w:val="215"/>
        </w:trPr>
        <w:tc>
          <w:tcPr>
            <w:tcW w:w="3380" w:type="dxa"/>
            <w:vAlign w:val="bottom"/>
          </w:tcPr>
          <w:p>
            <w:pPr>
              <w:ind w:left="760"/>
              <w:spacing w:after="0"/>
              <w:rPr>
                <w:sz w:val="20"/>
                <w:szCs w:val="20"/>
                <w:color w:val="auto"/>
              </w:rPr>
            </w:pPr>
            <w:r>
              <w:rPr>
                <w:rFonts w:ascii="Arial" w:cs="Arial" w:eastAsia="Arial" w:hAnsi="Arial"/>
                <w:sz w:val="16"/>
                <w:szCs w:val="16"/>
                <w:color w:val="auto"/>
              </w:rPr>
              <w:t>at Dominion Energy, Inc.</w:t>
            </w:r>
          </w:p>
        </w:tc>
        <w:tc>
          <w:tcPr>
            <w:tcW w:w="240" w:type="dxa"/>
            <w:vAlign w:val="bottom"/>
          </w:tcPr>
          <w:p>
            <w:pPr>
              <w:spacing w:after="0"/>
              <w:rPr>
                <w:sz w:val="18"/>
                <w:szCs w:val="18"/>
                <w:color w:val="auto"/>
              </w:rPr>
            </w:pPr>
          </w:p>
        </w:tc>
        <w:tc>
          <w:tcPr>
            <w:tcW w:w="3360" w:type="dxa"/>
            <w:vAlign w:val="bottom"/>
          </w:tcPr>
          <w:p>
            <w:pPr>
              <w:ind w:left="740"/>
              <w:spacing w:after="0"/>
              <w:rPr>
                <w:sz w:val="20"/>
                <w:szCs w:val="20"/>
                <w:color w:val="auto"/>
              </w:rPr>
            </w:pPr>
            <w:r>
              <w:rPr>
                <w:rFonts w:ascii="Arial" w:cs="Arial" w:eastAsia="Arial" w:hAnsi="Arial"/>
                <w:sz w:val="16"/>
                <w:szCs w:val="16"/>
                <w:color w:val="auto"/>
              </w:rPr>
              <w:t>EMCOR Group, Inc.</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43"/>
        </w:trPr>
        <w:tc>
          <w:tcPr>
            <w:tcW w:w="3380" w:type="dxa"/>
            <w:vAlign w:val="bottom"/>
            <w:tcBorders>
              <w:bottom w:val="single" w:sz="8" w:color="BCBEC0"/>
            </w:tcBorders>
          </w:tcPr>
          <w:p>
            <w:pPr>
              <w:spacing w:after="0"/>
              <w:rPr>
                <w:sz w:val="3"/>
                <w:szCs w:val="3"/>
                <w:color w:val="auto"/>
              </w:rPr>
            </w:pPr>
          </w:p>
        </w:tc>
        <w:tc>
          <w:tcPr>
            <w:tcW w:w="240" w:type="dxa"/>
            <w:vAlign w:val="bottom"/>
          </w:tcPr>
          <w:p>
            <w:pPr>
              <w:spacing w:after="0"/>
              <w:rPr>
                <w:sz w:val="3"/>
                <w:szCs w:val="3"/>
                <w:color w:val="auto"/>
              </w:rPr>
            </w:pPr>
          </w:p>
        </w:tc>
        <w:tc>
          <w:tcPr>
            <w:tcW w:w="3360" w:type="dxa"/>
            <w:vAlign w:val="bottom"/>
            <w:tcBorders>
              <w:bottom w:val="single" w:sz="8" w:color="BCBEC0"/>
            </w:tcBorders>
          </w:tcPr>
          <w:p>
            <w:pPr>
              <w:spacing w:after="0"/>
              <w:rPr>
                <w:sz w:val="3"/>
                <w:szCs w:val="3"/>
                <w:color w:val="auto"/>
              </w:rPr>
            </w:pPr>
          </w:p>
        </w:tc>
        <w:tc>
          <w:tcPr>
            <w:tcW w:w="200" w:type="dxa"/>
            <w:vAlign w:val="bottom"/>
          </w:tcPr>
          <w:p>
            <w:pPr>
              <w:spacing w:after="0"/>
              <w:rPr>
                <w:sz w:val="3"/>
                <w:szCs w:val="3"/>
                <w:color w:val="auto"/>
              </w:rPr>
            </w:pPr>
          </w:p>
        </w:tc>
        <w:tc>
          <w:tcPr>
            <w:tcW w:w="4060" w:type="dxa"/>
            <w:vAlign w:val="bottom"/>
            <w:tcBorders>
              <w:bottom w:val="single" w:sz="8" w:color="BCBEC0"/>
            </w:tcBorders>
          </w:tcPr>
          <w:p>
            <w:pPr>
              <w:spacing w:after="0"/>
              <w:rPr>
                <w:sz w:val="3"/>
                <w:szCs w:val="3"/>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2025</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2006</w:t>
            </w:r>
          </w:p>
        </w:tc>
        <w:tc>
          <w:tcPr>
            <w:tcW w:w="2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r>
      <w:tr>
        <w:trPr>
          <w:trHeight w:val="189"/>
        </w:trPr>
        <w:tc>
          <w:tcPr>
            <w:tcW w:w="3380" w:type="dxa"/>
            <w:vAlign w:val="bottom"/>
          </w:tcPr>
          <w:p>
            <w:pPr>
              <w:spacing w:after="0"/>
              <w:rPr>
                <w:sz w:val="20"/>
                <w:szCs w:val="20"/>
                <w:color w:val="auto"/>
              </w:rPr>
            </w:pPr>
            <w:r>
              <w:rPr>
                <w:rFonts w:ascii="Arial" w:cs="Arial" w:eastAsia="Arial" w:hAnsi="Arial"/>
                <w:sz w:val="16"/>
                <w:szCs w:val="16"/>
                <w:b w:val="1"/>
                <w:bCs w:val="1"/>
                <w:color w:val="auto"/>
              </w:rPr>
              <w:t>Committees:</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Committees:</w:t>
            </w:r>
          </w:p>
        </w:tc>
        <w:tc>
          <w:tcPr>
            <w:tcW w:w="200" w:type="dxa"/>
            <w:vAlign w:val="bottom"/>
          </w:tcPr>
          <w:p>
            <w:pPr>
              <w:spacing w:after="0"/>
              <w:rPr>
                <w:sz w:val="16"/>
                <w:szCs w:val="16"/>
                <w:color w:val="auto"/>
              </w:rPr>
            </w:pPr>
          </w:p>
        </w:tc>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Committees:</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Compensation, Finance</w:t>
            </w:r>
          </w:p>
        </w:tc>
        <w:tc>
          <w:tcPr>
            <w:tcW w:w="3600" w:type="dxa"/>
            <w:vAlign w:val="bottom"/>
            <w:gridSpan w:val="2"/>
          </w:tcPr>
          <w:p>
            <w:pPr>
              <w:ind w:left="240"/>
              <w:spacing w:after="0"/>
              <w:rPr>
                <w:sz w:val="20"/>
                <w:szCs w:val="20"/>
                <w:color w:val="auto"/>
              </w:rPr>
            </w:pPr>
            <w:r>
              <w:rPr>
                <w:rFonts w:ascii="Arial" w:cs="Arial" w:eastAsia="Arial" w:hAnsi="Arial"/>
                <w:sz w:val="16"/>
                <w:szCs w:val="16"/>
                <w:color w:val="auto"/>
              </w:rPr>
              <w:t>Compensation, Executive, Finance,</w:t>
            </w:r>
          </w:p>
        </w:tc>
        <w:tc>
          <w:tcPr>
            <w:tcW w:w="200" w:type="dxa"/>
            <w:vAlign w:val="bottom"/>
          </w:tcPr>
          <w:p>
            <w:pPr>
              <w:spacing w:after="0"/>
              <w:rPr>
                <w:sz w:val="16"/>
                <w:szCs w:val="16"/>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Audit, Executive, Finance (Chair)</w:t>
            </w:r>
          </w:p>
        </w:tc>
      </w:tr>
      <w:tr>
        <w:trPr>
          <w:trHeight w:val="215"/>
        </w:trPr>
        <w:tc>
          <w:tcPr>
            <w:tcW w:w="338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Arial" w:cs="Arial" w:eastAsia="Arial" w:hAnsi="Arial"/>
                <w:sz w:val="16"/>
                <w:szCs w:val="16"/>
                <w:color w:val="auto"/>
              </w:rPr>
              <w:t>Nominating and Corporate Governance</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474"/>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Gerben W. Bakker</w:t>
            </w:r>
          </w:p>
        </w:tc>
        <w:tc>
          <w:tcPr>
            <w:tcW w:w="240" w:type="dxa"/>
            <w:vAlign w:val="bottom"/>
          </w:tcPr>
          <w:p>
            <w:pPr>
              <w:spacing w:after="0"/>
              <w:rPr>
                <w:sz w:val="24"/>
                <w:szCs w:val="24"/>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Rhett A. Hernandez</w:t>
            </w:r>
          </w:p>
        </w:tc>
        <w:tc>
          <w:tcPr>
            <w:tcW w:w="200" w:type="dxa"/>
            <w:vAlign w:val="bottom"/>
          </w:tcPr>
          <w:p>
            <w:pPr>
              <w:spacing w:after="0"/>
              <w:rPr>
                <w:sz w:val="24"/>
                <w:szCs w:val="24"/>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Jennifer M. Pollino</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Age: 61</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Age: 73</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Age: 61</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color w:val="auto"/>
              </w:rPr>
              <w:t>Chairman, President and Chief</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INDEPENDENT</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INDEPENDENT</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color w:val="auto"/>
              </w:rPr>
              <w:t>Executive Officer, Hubbell</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color w:val="auto"/>
              </w:rPr>
              <w:t>President, CyberLens, LLC</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color w:val="auto"/>
              </w:rPr>
              <w:t>Executive Coach and Consultant, JMPollino,</w:t>
            </w:r>
          </w:p>
        </w:tc>
      </w:tr>
      <w:tr>
        <w:trPr>
          <w:trHeight w:val="215"/>
        </w:trPr>
        <w:tc>
          <w:tcPr>
            <w:tcW w:w="3380" w:type="dxa"/>
            <w:vAlign w:val="bottom"/>
          </w:tcPr>
          <w:p>
            <w:pPr>
              <w:ind w:left="760"/>
              <w:spacing w:after="0"/>
              <w:rPr>
                <w:sz w:val="20"/>
                <w:szCs w:val="20"/>
                <w:color w:val="auto"/>
              </w:rPr>
            </w:pPr>
            <w:r>
              <w:rPr>
                <w:rFonts w:ascii="Arial" w:cs="Arial" w:eastAsia="Arial" w:hAnsi="Arial"/>
                <w:sz w:val="16"/>
                <w:szCs w:val="16"/>
                <w:color w:val="auto"/>
              </w:rPr>
              <w:t>Incorporated</w:t>
            </w: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60" w:type="dxa"/>
            <w:vAlign w:val="bottom"/>
          </w:tcPr>
          <w:p>
            <w:pPr>
              <w:ind w:left="760"/>
              <w:spacing w:after="0"/>
              <w:rPr>
                <w:sz w:val="20"/>
                <w:szCs w:val="20"/>
                <w:color w:val="auto"/>
              </w:rPr>
            </w:pPr>
            <w:r>
              <w:rPr>
                <w:rFonts w:ascii="Arial" w:cs="Arial" w:eastAsia="Arial" w:hAnsi="Arial"/>
                <w:sz w:val="16"/>
                <w:szCs w:val="16"/>
                <w:color w:val="auto"/>
              </w:rPr>
              <w:t>LLC</w:t>
            </w:r>
          </w:p>
        </w:tc>
      </w:tr>
      <w:tr>
        <w:trPr>
          <w:trHeight w:val="43"/>
        </w:trPr>
        <w:tc>
          <w:tcPr>
            <w:tcW w:w="3380" w:type="dxa"/>
            <w:vAlign w:val="bottom"/>
            <w:tcBorders>
              <w:bottom w:val="single" w:sz="8" w:color="BCBEC0"/>
            </w:tcBorders>
          </w:tcPr>
          <w:p>
            <w:pPr>
              <w:spacing w:after="0"/>
              <w:rPr>
                <w:sz w:val="3"/>
                <w:szCs w:val="3"/>
                <w:color w:val="auto"/>
              </w:rPr>
            </w:pPr>
          </w:p>
        </w:tc>
        <w:tc>
          <w:tcPr>
            <w:tcW w:w="240" w:type="dxa"/>
            <w:vAlign w:val="bottom"/>
          </w:tcPr>
          <w:p>
            <w:pPr>
              <w:spacing w:after="0"/>
              <w:rPr>
                <w:sz w:val="3"/>
                <w:szCs w:val="3"/>
                <w:color w:val="auto"/>
              </w:rPr>
            </w:pPr>
          </w:p>
        </w:tc>
        <w:tc>
          <w:tcPr>
            <w:tcW w:w="3360" w:type="dxa"/>
            <w:vAlign w:val="bottom"/>
            <w:tcBorders>
              <w:bottom w:val="single" w:sz="8" w:color="BCBEC0"/>
            </w:tcBorders>
          </w:tcPr>
          <w:p>
            <w:pPr>
              <w:spacing w:after="0"/>
              <w:rPr>
                <w:sz w:val="3"/>
                <w:szCs w:val="3"/>
                <w:color w:val="auto"/>
              </w:rPr>
            </w:pPr>
          </w:p>
        </w:tc>
        <w:tc>
          <w:tcPr>
            <w:tcW w:w="200" w:type="dxa"/>
            <w:vAlign w:val="bottom"/>
          </w:tcPr>
          <w:p>
            <w:pPr>
              <w:spacing w:after="0"/>
              <w:rPr>
                <w:sz w:val="3"/>
                <w:szCs w:val="3"/>
                <w:color w:val="auto"/>
              </w:rPr>
            </w:pPr>
          </w:p>
        </w:tc>
        <w:tc>
          <w:tcPr>
            <w:tcW w:w="4060" w:type="dxa"/>
            <w:vAlign w:val="bottom"/>
            <w:tcBorders>
              <w:bottom w:val="single" w:sz="8" w:color="BCBEC0"/>
            </w:tcBorders>
          </w:tcPr>
          <w:p>
            <w:pPr>
              <w:spacing w:after="0"/>
              <w:rPr>
                <w:sz w:val="3"/>
                <w:szCs w:val="3"/>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tc>
        <w:tc>
          <w:tcPr>
            <w:tcW w:w="2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2020</w:t>
            </w:r>
          </w:p>
        </w:tc>
      </w:tr>
      <w:tr>
        <w:trPr>
          <w:trHeight w:val="189"/>
        </w:trPr>
        <w:tc>
          <w:tcPr>
            <w:tcW w:w="3380" w:type="dxa"/>
            <w:vAlign w:val="bottom"/>
          </w:tcPr>
          <w:p>
            <w:pPr>
              <w:spacing w:after="0"/>
              <w:rPr>
                <w:sz w:val="20"/>
                <w:szCs w:val="20"/>
                <w:color w:val="auto"/>
              </w:rPr>
            </w:pPr>
            <w:r>
              <w:rPr>
                <w:rFonts w:ascii="Arial" w:cs="Arial" w:eastAsia="Arial" w:hAnsi="Arial"/>
                <w:sz w:val="16"/>
                <w:szCs w:val="16"/>
                <w:b w:val="1"/>
                <w:bCs w:val="1"/>
                <w:color w:val="auto"/>
              </w:rPr>
              <w:t>Committee:</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Committees:</w:t>
            </w:r>
          </w:p>
        </w:tc>
        <w:tc>
          <w:tcPr>
            <w:tcW w:w="200" w:type="dxa"/>
            <w:vAlign w:val="bottom"/>
          </w:tcPr>
          <w:p>
            <w:pPr>
              <w:spacing w:after="0"/>
              <w:rPr>
                <w:sz w:val="16"/>
                <w:szCs w:val="16"/>
                <w:color w:val="auto"/>
              </w:rPr>
            </w:pPr>
          </w:p>
        </w:tc>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Committees:</w:t>
            </w:r>
          </w:p>
        </w:tc>
      </w:tr>
      <w:tr>
        <w:trPr>
          <w:trHeight w:val="215"/>
        </w:trPr>
        <w:tc>
          <w:tcPr>
            <w:tcW w:w="3380" w:type="dxa"/>
            <w:vAlign w:val="bottom"/>
          </w:tcPr>
          <w:p>
            <w:pPr>
              <w:spacing w:after="0"/>
              <w:rPr>
                <w:sz w:val="20"/>
                <w:szCs w:val="20"/>
                <w:color w:val="auto"/>
              </w:rPr>
            </w:pPr>
            <w:r>
              <w:rPr>
                <w:rFonts w:ascii="Arial" w:cs="Arial" w:eastAsia="Arial" w:hAnsi="Arial"/>
                <w:sz w:val="16"/>
                <w:szCs w:val="16"/>
                <w:color w:val="auto"/>
              </w:rPr>
              <w:t>Executive (Chair)</w:t>
            </w:r>
          </w:p>
        </w:tc>
        <w:tc>
          <w:tcPr>
            <w:tcW w:w="3600" w:type="dxa"/>
            <w:vAlign w:val="bottom"/>
            <w:gridSpan w:val="2"/>
          </w:tcPr>
          <w:p>
            <w:pPr>
              <w:ind w:left="240"/>
              <w:spacing w:after="0"/>
              <w:rPr>
                <w:sz w:val="20"/>
                <w:szCs w:val="20"/>
                <w:color w:val="auto"/>
              </w:rPr>
            </w:pPr>
            <w:r>
              <w:rPr>
                <w:rFonts w:ascii="Arial" w:cs="Arial" w:eastAsia="Arial" w:hAnsi="Arial"/>
                <w:sz w:val="16"/>
                <w:szCs w:val="16"/>
                <w:color w:val="auto"/>
              </w:rPr>
              <w:t>Audit, Finance</w:t>
            </w:r>
          </w:p>
        </w:tc>
        <w:tc>
          <w:tcPr>
            <w:tcW w:w="200" w:type="dxa"/>
            <w:vAlign w:val="bottom"/>
          </w:tcPr>
          <w:p>
            <w:pPr>
              <w:spacing w:after="0"/>
              <w:rPr>
                <w:sz w:val="18"/>
                <w:szCs w:val="18"/>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Compensation, Nominating and Corporate Governance</w:t>
            </w:r>
          </w:p>
        </w:tc>
      </w:tr>
      <w:tr>
        <w:trPr>
          <w:trHeight w:val="474"/>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Carlos M. Cardoso</w:t>
            </w:r>
          </w:p>
        </w:tc>
        <w:tc>
          <w:tcPr>
            <w:tcW w:w="240" w:type="dxa"/>
            <w:vAlign w:val="bottom"/>
          </w:tcPr>
          <w:p>
            <w:pPr>
              <w:spacing w:after="0"/>
              <w:rPr>
                <w:sz w:val="24"/>
                <w:szCs w:val="24"/>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Neal J. Keating</w:t>
            </w:r>
          </w:p>
        </w:tc>
        <w:tc>
          <w:tcPr>
            <w:tcW w:w="200" w:type="dxa"/>
            <w:vAlign w:val="bottom"/>
          </w:tcPr>
          <w:p>
            <w:pPr>
              <w:spacing w:after="0"/>
              <w:rPr>
                <w:sz w:val="24"/>
                <w:szCs w:val="24"/>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Garrick J. Rochow</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Age: 68</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Age: 70</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Age: 51</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INDEPENDENT</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INDEPENDENT</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b w:val="1"/>
                <w:bCs w:val="1"/>
                <w:color w:val="auto"/>
              </w:rPr>
              <w:t>INDEPENDENT</w:t>
            </w: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color w:val="auto"/>
              </w:rPr>
              <w:t>Retired Chairman, Garrett Motion</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color w:val="auto"/>
              </w:rPr>
              <w:t>Retired Chairman, President and</w:t>
            </w:r>
          </w:p>
        </w:tc>
        <w:tc>
          <w:tcPr>
            <w:tcW w:w="200" w:type="dxa"/>
            <w:vAlign w:val="bottom"/>
          </w:tcPr>
          <w:p>
            <w:pPr>
              <w:spacing w:after="0"/>
              <w:rPr>
                <w:sz w:val="16"/>
                <w:szCs w:val="16"/>
                <w:color w:val="auto"/>
              </w:rPr>
            </w:pPr>
          </w:p>
        </w:tc>
        <w:tc>
          <w:tcPr>
            <w:tcW w:w="4060" w:type="dxa"/>
            <w:vAlign w:val="bottom"/>
          </w:tcPr>
          <w:p>
            <w:pPr>
              <w:ind w:left="760"/>
              <w:spacing w:after="0"/>
              <w:rPr>
                <w:sz w:val="20"/>
                <w:szCs w:val="20"/>
                <w:color w:val="auto"/>
              </w:rPr>
            </w:pPr>
            <w:r>
              <w:rPr>
                <w:rFonts w:ascii="Arial" w:cs="Arial" w:eastAsia="Arial" w:hAnsi="Arial"/>
                <w:sz w:val="16"/>
                <w:szCs w:val="16"/>
                <w:color w:val="auto"/>
              </w:rPr>
              <w:t>President and CEO, CMS Energy Corporation</w:t>
            </w:r>
          </w:p>
        </w:tc>
      </w:tr>
      <w:tr>
        <w:trPr>
          <w:trHeight w:val="215"/>
        </w:trPr>
        <w:tc>
          <w:tcPr>
            <w:tcW w:w="3380" w:type="dxa"/>
            <w:vAlign w:val="bottom"/>
          </w:tcPr>
          <w:p>
            <w:pPr>
              <w:ind w:left="760"/>
              <w:spacing w:after="0"/>
              <w:rPr>
                <w:sz w:val="20"/>
                <w:szCs w:val="20"/>
                <w:color w:val="auto"/>
              </w:rPr>
            </w:pPr>
            <w:r>
              <w:rPr>
                <w:rFonts w:ascii="Arial" w:cs="Arial" w:eastAsia="Arial" w:hAnsi="Arial"/>
                <w:sz w:val="16"/>
                <w:szCs w:val="16"/>
                <w:color w:val="auto"/>
              </w:rPr>
              <w:t>Inc.</w:t>
            </w:r>
          </w:p>
        </w:tc>
        <w:tc>
          <w:tcPr>
            <w:tcW w:w="240" w:type="dxa"/>
            <w:vAlign w:val="bottom"/>
          </w:tcPr>
          <w:p>
            <w:pPr>
              <w:spacing w:after="0"/>
              <w:rPr>
                <w:sz w:val="18"/>
                <w:szCs w:val="18"/>
                <w:color w:val="auto"/>
              </w:rPr>
            </w:pPr>
          </w:p>
        </w:tc>
        <w:tc>
          <w:tcPr>
            <w:tcW w:w="3360" w:type="dxa"/>
            <w:vAlign w:val="bottom"/>
          </w:tcPr>
          <w:p>
            <w:pPr>
              <w:ind w:left="740"/>
              <w:spacing w:after="0"/>
              <w:rPr>
                <w:sz w:val="20"/>
                <w:szCs w:val="20"/>
                <w:color w:val="auto"/>
              </w:rPr>
            </w:pPr>
            <w:r>
              <w:rPr>
                <w:rFonts w:ascii="Arial" w:cs="Arial" w:eastAsia="Arial" w:hAnsi="Arial"/>
                <w:sz w:val="16"/>
                <w:szCs w:val="16"/>
                <w:color w:val="auto"/>
              </w:rPr>
              <w:t>CEO, Kaman Corporation</w:t>
            </w:r>
          </w:p>
        </w:tc>
        <w:tc>
          <w:tcPr>
            <w:tcW w:w="200" w:type="dxa"/>
            <w:vAlign w:val="bottom"/>
          </w:tcPr>
          <w:p>
            <w:pPr>
              <w:spacing w:after="0"/>
              <w:rPr>
                <w:sz w:val="18"/>
                <w:szCs w:val="18"/>
                <w:color w:val="auto"/>
              </w:rPr>
            </w:pPr>
          </w:p>
        </w:tc>
        <w:tc>
          <w:tcPr>
            <w:tcW w:w="4060" w:type="dxa"/>
            <w:vAlign w:val="bottom"/>
          </w:tcPr>
          <w:p>
            <w:pPr>
              <w:ind w:left="760"/>
              <w:spacing w:after="0"/>
              <w:rPr>
                <w:sz w:val="20"/>
                <w:szCs w:val="20"/>
                <w:color w:val="auto"/>
              </w:rPr>
            </w:pPr>
            <w:r>
              <w:rPr>
                <w:rFonts w:ascii="Arial" w:cs="Arial" w:eastAsia="Arial" w:hAnsi="Arial"/>
                <w:sz w:val="16"/>
                <w:szCs w:val="16"/>
                <w:color w:val="auto"/>
              </w:rPr>
              <w:t>and Consumers Energy Company</w:t>
            </w:r>
          </w:p>
        </w:tc>
      </w:tr>
      <w:tr>
        <w:trPr>
          <w:trHeight w:val="43"/>
        </w:trPr>
        <w:tc>
          <w:tcPr>
            <w:tcW w:w="3380" w:type="dxa"/>
            <w:vAlign w:val="bottom"/>
            <w:tcBorders>
              <w:bottom w:val="single" w:sz="8" w:color="BCBEC0"/>
            </w:tcBorders>
          </w:tcPr>
          <w:p>
            <w:pPr>
              <w:spacing w:after="0"/>
              <w:rPr>
                <w:sz w:val="3"/>
                <w:szCs w:val="3"/>
                <w:color w:val="auto"/>
              </w:rPr>
            </w:pPr>
          </w:p>
        </w:tc>
        <w:tc>
          <w:tcPr>
            <w:tcW w:w="240" w:type="dxa"/>
            <w:vAlign w:val="bottom"/>
          </w:tcPr>
          <w:p>
            <w:pPr>
              <w:spacing w:after="0"/>
              <w:rPr>
                <w:sz w:val="3"/>
                <w:szCs w:val="3"/>
                <w:color w:val="auto"/>
              </w:rPr>
            </w:pPr>
          </w:p>
        </w:tc>
        <w:tc>
          <w:tcPr>
            <w:tcW w:w="3360" w:type="dxa"/>
            <w:vAlign w:val="bottom"/>
            <w:tcBorders>
              <w:bottom w:val="single" w:sz="8" w:color="BCBEC0"/>
            </w:tcBorders>
          </w:tcPr>
          <w:p>
            <w:pPr>
              <w:spacing w:after="0"/>
              <w:rPr>
                <w:sz w:val="3"/>
                <w:szCs w:val="3"/>
                <w:color w:val="auto"/>
              </w:rPr>
            </w:pPr>
          </w:p>
        </w:tc>
        <w:tc>
          <w:tcPr>
            <w:tcW w:w="200" w:type="dxa"/>
            <w:vAlign w:val="bottom"/>
          </w:tcPr>
          <w:p>
            <w:pPr>
              <w:spacing w:after="0"/>
              <w:rPr>
                <w:sz w:val="3"/>
                <w:szCs w:val="3"/>
                <w:color w:val="auto"/>
              </w:rPr>
            </w:pPr>
          </w:p>
        </w:tc>
        <w:tc>
          <w:tcPr>
            <w:tcW w:w="4060" w:type="dxa"/>
            <w:vAlign w:val="bottom"/>
            <w:tcBorders>
              <w:bottom w:val="single" w:sz="8" w:color="BCBEC0"/>
            </w:tcBorders>
          </w:tcPr>
          <w:p>
            <w:pPr>
              <w:spacing w:after="0"/>
              <w:rPr>
                <w:sz w:val="3"/>
                <w:szCs w:val="3"/>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2010</w:t>
            </w:r>
          </w:p>
        </w:tc>
        <w:tc>
          <w:tcPr>
            <w:tcW w:w="200" w:type="dxa"/>
            <w:vAlign w:val="bottom"/>
          </w:tcPr>
          <w:p>
            <w:pPr>
              <w:spacing w:after="0"/>
              <w:rPr>
                <w:sz w:val="19"/>
                <w:szCs w:val="19"/>
                <w:color w:val="auto"/>
              </w:rPr>
            </w:pPr>
          </w:p>
        </w:tc>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2024</w:t>
            </w:r>
          </w:p>
        </w:tc>
      </w:tr>
      <w:tr>
        <w:trPr>
          <w:trHeight w:val="189"/>
        </w:trPr>
        <w:tc>
          <w:tcPr>
            <w:tcW w:w="3380" w:type="dxa"/>
            <w:vAlign w:val="bottom"/>
          </w:tcPr>
          <w:p>
            <w:pPr>
              <w:spacing w:after="0"/>
              <w:rPr>
                <w:sz w:val="20"/>
                <w:szCs w:val="20"/>
                <w:color w:val="auto"/>
              </w:rPr>
            </w:pPr>
            <w:r>
              <w:rPr>
                <w:rFonts w:ascii="Arial" w:cs="Arial" w:eastAsia="Arial" w:hAnsi="Arial"/>
                <w:sz w:val="16"/>
                <w:szCs w:val="16"/>
                <w:b w:val="1"/>
                <w:bCs w:val="1"/>
                <w:color w:val="auto"/>
              </w:rPr>
              <w:t>Committees:</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Committees:</w:t>
            </w:r>
          </w:p>
        </w:tc>
        <w:tc>
          <w:tcPr>
            <w:tcW w:w="200" w:type="dxa"/>
            <w:vAlign w:val="bottom"/>
          </w:tcPr>
          <w:p>
            <w:pPr>
              <w:spacing w:after="0"/>
              <w:rPr>
                <w:sz w:val="16"/>
                <w:szCs w:val="16"/>
                <w:color w:val="auto"/>
              </w:rPr>
            </w:pPr>
          </w:p>
        </w:tc>
        <w:tc>
          <w:tcPr>
            <w:tcW w:w="4060" w:type="dxa"/>
            <w:vAlign w:val="bottom"/>
          </w:tcPr>
          <w:p>
            <w:pPr>
              <w:ind w:left="20"/>
              <w:spacing w:after="0"/>
              <w:rPr>
                <w:sz w:val="20"/>
                <w:szCs w:val="20"/>
                <w:color w:val="auto"/>
              </w:rPr>
            </w:pPr>
            <w:r>
              <w:rPr>
                <w:rFonts w:ascii="Arial" w:cs="Arial" w:eastAsia="Arial" w:hAnsi="Arial"/>
                <w:sz w:val="16"/>
                <w:szCs w:val="16"/>
                <w:b w:val="1"/>
                <w:bCs w:val="1"/>
                <w:color w:val="auto"/>
              </w:rPr>
              <w:t>Committees:</w:t>
            </w: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Compensation (Chair), Executive, Nominating</w:t>
            </w:r>
          </w:p>
        </w:tc>
        <w:tc>
          <w:tcPr>
            <w:tcW w:w="3600" w:type="dxa"/>
            <w:vAlign w:val="bottom"/>
            <w:gridSpan w:val="2"/>
          </w:tcPr>
          <w:p>
            <w:pPr>
              <w:ind w:left="240"/>
              <w:spacing w:after="0"/>
              <w:rPr>
                <w:sz w:val="20"/>
                <w:szCs w:val="20"/>
                <w:color w:val="auto"/>
              </w:rPr>
            </w:pPr>
            <w:r>
              <w:rPr>
                <w:rFonts w:ascii="Arial" w:cs="Arial" w:eastAsia="Arial" w:hAnsi="Arial"/>
                <w:sz w:val="16"/>
                <w:szCs w:val="16"/>
                <w:color w:val="auto"/>
              </w:rPr>
              <w:t>Compensation, Executive, Nominating and</w:t>
            </w:r>
          </w:p>
        </w:tc>
        <w:tc>
          <w:tcPr>
            <w:tcW w:w="200" w:type="dxa"/>
            <w:vAlign w:val="bottom"/>
          </w:tcPr>
          <w:p>
            <w:pPr>
              <w:spacing w:after="0"/>
              <w:rPr>
                <w:sz w:val="16"/>
                <w:szCs w:val="16"/>
                <w:color w:val="auto"/>
              </w:rPr>
            </w:pPr>
          </w:p>
        </w:tc>
        <w:tc>
          <w:tcPr>
            <w:tcW w:w="4060" w:type="dxa"/>
            <w:vAlign w:val="bottom"/>
          </w:tcPr>
          <w:p>
            <w:pPr>
              <w:ind w:left="20"/>
              <w:spacing w:after="0"/>
              <w:rPr>
                <w:sz w:val="20"/>
                <w:szCs w:val="20"/>
                <w:color w:val="auto"/>
              </w:rPr>
            </w:pPr>
            <w:r>
              <w:rPr>
                <w:rFonts w:ascii="Arial" w:cs="Arial" w:eastAsia="Arial" w:hAnsi="Arial"/>
                <w:sz w:val="16"/>
                <w:szCs w:val="16"/>
                <w:color w:val="auto"/>
              </w:rPr>
              <w:t>Audit, Finance</w:t>
            </w:r>
          </w:p>
        </w:tc>
      </w:tr>
      <w:tr>
        <w:trPr>
          <w:trHeight w:val="215"/>
        </w:trPr>
        <w:tc>
          <w:tcPr>
            <w:tcW w:w="3380" w:type="dxa"/>
            <w:vAlign w:val="bottom"/>
          </w:tcPr>
          <w:p>
            <w:pPr>
              <w:spacing w:after="0"/>
              <w:rPr>
                <w:sz w:val="20"/>
                <w:szCs w:val="20"/>
                <w:color w:val="auto"/>
              </w:rPr>
            </w:pPr>
            <w:r>
              <w:rPr>
                <w:rFonts w:ascii="Arial" w:cs="Arial" w:eastAsia="Arial" w:hAnsi="Arial"/>
                <w:sz w:val="16"/>
                <w:szCs w:val="16"/>
                <w:color w:val="auto"/>
              </w:rPr>
              <w:t>and Corporate Governance</w:t>
            </w:r>
          </w:p>
        </w:tc>
        <w:tc>
          <w:tcPr>
            <w:tcW w:w="3600" w:type="dxa"/>
            <w:vAlign w:val="bottom"/>
            <w:gridSpan w:val="2"/>
          </w:tcPr>
          <w:p>
            <w:pPr>
              <w:ind w:left="240"/>
              <w:spacing w:after="0"/>
              <w:rPr>
                <w:sz w:val="20"/>
                <w:szCs w:val="20"/>
                <w:color w:val="auto"/>
              </w:rPr>
            </w:pPr>
            <w:r>
              <w:rPr>
                <w:rFonts w:ascii="Arial" w:cs="Arial" w:eastAsia="Arial" w:hAnsi="Arial"/>
                <w:sz w:val="16"/>
                <w:szCs w:val="16"/>
                <w:color w:val="auto"/>
              </w:rPr>
              <w:t>Corporate Governance (Chair)</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474"/>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Debra L. Dial</w:t>
            </w:r>
          </w:p>
        </w:tc>
        <w:tc>
          <w:tcPr>
            <w:tcW w:w="240" w:type="dxa"/>
            <w:vAlign w:val="bottom"/>
          </w:tcPr>
          <w:p>
            <w:pPr>
              <w:spacing w:after="0"/>
              <w:rPr>
                <w:sz w:val="24"/>
                <w:szCs w:val="24"/>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Bonnie C. Lind</w:t>
            </w: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Age: 65</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Age: 67</w:t>
            </w:r>
          </w:p>
        </w:tc>
        <w:tc>
          <w:tcPr>
            <w:tcW w:w="2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b w:val="1"/>
                <w:bCs w:val="1"/>
                <w:color w:val="auto"/>
              </w:rPr>
              <w:t>INDEPENDENT</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b w:val="1"/>
                <w:bCs w:val="1"/>
                <w:color w:val="auto"/>
              </w:rPr>
              <w:t>INDEPENDENT</w:t>
            </w:r>
          </w:p>
        </w:tc>
        <w:tc>
          <w:tcPr>
            <w:tcW w:w="2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9"/>
        </w:trPr>
        <w:tc>
          <w:tcPr>
            <w:tcW w:w="3380" w:type="dxa"/>
            <w:vAlign w:val="bottom"/>
          </w:tcPr>
          <w:p>
            <w:pPr>
              <w:ind w:left="760"/>
              <w:spacing w:after="0"/>
              <w:rPr>
                <w:sz w:val="20"/>
                <w:szCs w:val="20"/>
                <w:color w:val="auto"/>
              </w:rPr>
            </w:pPr>
            <w:r>
              <w:rPr>
                <w:rFonts w:ascii="Arial" w:cs="Arial" w:eastAsia="Arial" w:hAnsi="Arial"/>
                <w:sz w:val="16"/>
                <w:szCs w:val="16"/>
                <w:color w:val="auto"/>
              </w:rPr>
              <w:t>Retired SVP, Chief Accounting</w:t>
            </w:r>
          </w:p>
        </w:tc>
        <w:tc>
          <w:tcPr>
            <w:tcW w:w="240" w:type="dxa"/>
            <w:vAlign w:val="bottom"/>
          </w:tcPr>
          <w:p>
            <w:pPr>
              <w:spacing w:after="0"/>
              <w:rPr>
                <w:sz w:val="16"/>
                <w:szCs w:val="16"/>
                <w:color w:val="auto"/>
              </w:rPr>
            </w:pPr>
          </w:p>
        </w:tc>
        <w:tc>
          <w:tcPr>
            <w:tcW w:w="3360" w:type="dxa"/>
            <w:vAlign w:val="bottom"/>
          </w:tcPr>
          <w:p>
            <w:pPr>
              <w:ind w:left="740"/>
              <w:spacing w:after="0"/>
              <w:rPr>
                <w:sz w:val="20"/>
                <w:szCs w:val="20"/>
                <w:color w:val="auto"/>
              </w:rPr>
            </w:pPr>
            <w:r>
              <w:rPr>
                <w:rFonts w:ascii="Arial" w:cs="Arial" w:eastAsia="Arial" w:hAnsi="Arial"/>
                <w:sz w:val="16"/>
                <w:szCs w:val="16"/>
                <w:color w:val="auto"/>
              </w:rPr>
              <w:t>Retired SVP, CFO and Treasurer,</w:t>
            </w:r>
          </w:p>
        </w:tc>
        <w:tc>
          <w:tcPr>
            <w:tcW w:w="2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15"/>
        </w:trPr>
        <w:tc>
          <w:tcPr>
            <w:tcW w:w="3380" w:type="dxa"/>
            <w:vAlign w:val="bottom"/>
          </w:tcPr>
          <w:p>
            <w:pPr>
              <w:ind w:left="760"/>
              <w:spacing w:after="0"/>
              <w:rPr>
                <w:sz w:val="20"/>
                <w:szCs w:val="20"/>
                <w:color w:val="auto"/>
              </w:rPr>
            </w:pPr>
            <w:r>
              <w:rPr>
                <w:rFonts w:ascii="Arial" w:cs="Arial" w:eastAsia="Arial" w:hAnsi="Arial"/>
                <w:sz w:val="16"/>
                <w:szCs w:val="16"/>
                <w:color w:val="auto"/>
              </w:rPr>
              <w:t>Officer and Controller, AT&amp;T Inc.</w:t>
            </w:r>
          </w:p>
        </w:tc>
        <w:tc>
          <w:tcPr>
            <w:tcW w:w="240" w:type="dxa"/>
            <w:vAlign w:val="bottom"/>
          </w:tcPr>
          <w:p>
            <w:pPr>
              <w:spacing w:after="0"/>
              <w:rPr>
                <w:sz w:val="18"/>
                <w:szCs w:val="18"/>
                <w:color w:val="auto"/>
              </w:rPr>
            </w:pPr>
          </w:p>
        </w:tc>
        <w:tc>
          <w:tcPr>
            <w:tcW w:w="3360" w:type="dxa"/>
            <w:vAlign w:val="bottom"/>
          </w:tcPr>
          <w:p>
            <w:pPr>
              <w:ind w:left="740"/>
              <w:spacing w:after="0"/>
              <w:rPr>
                <w:sz w:val="20"/>
                <w:szCs w:val="20"/>
                <w:color w:val="auto"/>
              </w:rPr>
            </w:pPr>
            <w:r>
              <w:rPr>
                <w:rFonts w:ascii="Arial" w:cs="Arial" w:eastAsia="Arial" w:hAnsi="Arial"/>
                <w:sz w:val="16"/>
                <w:szCs w:val="16"/>
                <w:color w:val="auto"/>
              </w:rPr>
              <w:t>Neenah, Inc.</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43"/>
        </w:trPr>
        <w:tc>
          <w:tcPr>
            <w:tcW w:w="3380" w:type="dxa"/>
            <w:vAlign w:val="bottom"/>
            <w:tcBorders>
              <w:bottom w:val="single" w:sz="8" w:color="BCBEC0"/>
            </w:tcBorders>
          </w:tcPr>
          <w:p>
            <w:pPr>
              <w:spacing w:after="0"/>
              <w:rPr>
                <w:sz w:val="3"/>
                <w:szCs w:val="3"/>
                <w:color w:val="auto"/>
              </w:rPr>
            </w:pPr>
          </w:p>
        </w:tc>
        <w:tc>
          <w:tcPr>
            <w:tcW w:w="240" w:type="dxa"/>
            <w:vAlign w:val="bottom"/>
          </w:tcPr>
          <w:p>
            <w:pPr>
              <w:spacing w:after="0"/>
              <w:rPr>
                <w:sz w:val="3"/>
                <w:szCs w:val="3"/>
                <w:color w:val="auto"/>
              </w:rPr>
            </w:pPr>
          </w:p>
        </w:tc>
        <w:tc>
          <w:tcPr>
            <w:tcW w:w="3360" w:type="dxa"/>
            <w:vAlign w:val="bottom"/>
            <w:tcBorders>
              <w:bottom w:val="single" w:sz="8" w:color="BCBEC0"/>
            </w:tcBorders>
          </w:tcPr>
          <w:p>
            <w:pPr>
              <w:spacing w:after="0"/>
              <w:rPr>
                <w:sz w:val="3"/>
                <w:szCs w:val="3"/>
                <w:color w:val="auto"/>
              </w:rPr>
            </w:pPr>
          </w:p>
        </w:tc>
        <w:tc>
          <w:tcPr>
            <w:tcW w:w="200" w:type="dxa"/>
            <w:vAlign w:val="bottom"/>
          </w:tcPr>
          <w:p>
            <w:pPr>
              <w:spacing w:after="0"/>
              <w:rPr>
                <w:sz w:val="3"/>
                <w:szCs w:val="3"/>
                <w:color w:val="auto"/>
              </w:rPr>
            </w:pPr>
          </w:p>
        </w:tc>
        <w:tc>
          <w:tcPr>
            <w:tcW w:w="4060" w:type="dxa"/>
            <w:vAlign w:val="bottom"/>
          </w:tcPr>
          <w:p>
            <w:pPr>
              <w:spacing w:after="0"/>
              <w:rPr>
                <w:sz w:val="3"/>
                <w:szCs w:val="3"/>
                <w:color w:val="auto"/>
              </w:rPr>
            </w:pPr>
          </w:p>
        </w:tc>
      </w:tr>
      <w:tr>
        <w:trPr>
          <w:trHeight w:val="222"/>
        </w:trPr>
        <w:tc>
          <w:tcPr>
            <w:tcW w:w="33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2019</w:t>
            </w:r>
          </w:p>
        </w:tc>
        <w:tc>
          <w:tcPr>
            <w:tcW w:w="200" w:type="dxa"/>
            <w:vAlign w:val="bottom"/>
          </w:tcPr>
          <w:p>
            <w:pPr>
              <w:spacing w:after="0"/>
              <w:rPr>
                <w:sz w:val="19"/>
                <w:szCs w:val="19"/>
                <w:color w:val="auto"/>
              </w:rPr>
            </w:pPr>
          </w:p>
        </w:tc>
        <w:tc>
          <w:tcPr>
            <w:tcW w:w="4060" w:type="dxa"/>
            <w:vAlign w:val="bottom"/>
          </w:tcPr>
          <w:p>
            <w:pPr>
              <w:spacing w:after="0"/>
              <w:rPr>
                <w:sz w:val="19"/>
                <w:szCs w:val="19"/>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b w:val="1"/>
                <w:bCs w:val="1"/>
                <w:color w:val="auto"/>
              </w:rPr>
              <w:t>Committees:</w:t>
            </w:r>
          </w:p>
        </w:tc>
        <w:tc>
          <w:tcPr>
            <w:tcW w:w="3600" w:type="dxa"/>
            <w:vAlign w:val="bottom"/>
            <w:gridSpan w:val="2"/>
          </w:tcPr>
          <w:p>
            <w:pPr>
              <w:ind w:left="240"/>
              <w:spacing w:after="0"/>
              <w:rPr>
                <w:sz w:val="20"/>
                <w:szCs w:val="20"/>
                <w:color w:val="auto"/>
              </w:rPr>
            </w:pPr>
            <w:r>
              <w:rPr>
                <w:rFonts w:ascii="Arial" w:cs="Arial" w:eastAsia="Arial" w:hAnsi="Arial"/>
                <w:sz w:val="16"/>
                <w:szCs w:val="16"/>
                <w:b w:val="1"/>
                <w:bCs w:val="1"/>
                <w:color w:val="auto"/>
              </w:rPr>
              <w:t>Committees:</w:t>
            </w:r>
          </w:p>
        </w:tc>
        <w:tc>
          <w:tcPr>
            <w:tcW w:w="2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189"/>
        </w:trPr>
        <w:tc>
          <w:tcPr>
            <w:tcW w:w="3380" w:type="dxa"/>
            <w:vAlign w:val="bottom"/>
          </w:tcPr>
          <w:p>
            <w:pPr>
              <w:spacing w:after="0"/>
              <w:rPr>
                <w:sz w:val="20"/>
                <w:szCs w:val="20"/>
                <w:color w:val="auto"/>
              </w:rPr>
            </w:pPr>
            <w:r>
              <w:rPr>
                <w:rFonts w:ascii="Arial" w:cs="Arial" w:eastAsia="Arial" w:hAnsi="Arial"/>
                <w:sz w:val="16"/>
                <w:szCs w:val="16"/>
                <w:color w:val="auto"/>
              </w:rPr>
              <w:t>Audit, Finance</w:t>
            </w:r>
          </w:p>
        </w:tc>
        <w:tc>
          <w:tcPr>
            <w:tcW w:w="3600" w:type="dxa"/>
            <w:vAlign w:val="bottom"/>
            <w:gridSpan w:val="2"/>
          </w:tcPr>
          <w:p>
            <w:pPr>
              <w:ind w:left="240"/>
              <w:spacing w:after="0"/>
              <w:rPr>
                <w:sz w:val="20"/>
                <w:szCs w:val="20"/>
                <w:color w:val="auto"/>
              </w:rPr>
            </w:pPr>
            <w:r>
              <w:rPr>
                <w:rFonts w:ascii="Arial" w:cs="Arial" w:eastAsia="Arial" w:hAnsi="Arial"/>
                <w:sz w:val="16"/>
                <w:szCs w:val="16"/>
                <w:color w:val="auto"/>
              </w:rPr>
              <w:t>Audit (Chair), Executive, Nominating and</w:t>
            </w:r>
          </w:p>
        </w:tc>
        <w:tc>
          <w:tcPr>
            <w:tcW w:w="200" w:type="dxa"/>
            <w:vAlign w:val="bottom"/>
          </w:tcPr>
          <w:p>
            <w:pPr>
              <w:spacing w:after="0"/>
              <w:rPr>
                <w:sz w:val="16"/>
                <w:szCs w:val="16"/>
                <w:color w:val="auto"/>
              </w:rPr>
            </w:pPr>
          </w:p>
        </w:tc>
        <w:tc>
          <w:tcPr>
            <w:tcW w:w="4060" w:type="dxa"/>
            <w:vAlign w:val="bottom"/>
          </w:tcPr>
          <w:p>
            <w:pPr>
              <w:spacing w:after="0"/>
              <w:rPr>
                <w:sz w:val="16"/>
                <w:szCs w:val="16"/>
                <w:color w:val="auto"/>
              </w:rPr>
            </w:pPr>
          </w:p>
        </w:tc>
      </w:tr>
      <w:tr>
        <w:trPr>
          <w:trHeight w:val="215"/>
        </w:trPr>
        <w:tc>
          <w:tcPr>
            <w:tcW w:w="3380" w:type="dxa"/>
            <w:vAlign w:val="bottom"/>
          </w:tcPr>
          <w:p>
            <w:pPr>
              <w:spacing w:after="0"/>
              <w:rPr>
                <w:sz w:val="18"/>
                <w:szCs w:val="18"/>
                <w:color w:val="auto"/>
              </w:rPr>
            </w:pPr>
          </w:p>
        </w:tc>
        <w:tc>
          <w:tcPr>
            <w:tcW w:w="3600" w:type="dxa"/>
            <w:vAlign w:val="bottom"/>
            <w:gridSpan w:val="2"/>
          </w:tcPr>
          <w:p>
            <w:pPr>
              <w:ind w:left="240"/>
              <w:spacing w:after="0"/>
              <w:rPr>
                <w:sz w:val="20"/>
                <w:szCs w:val="20"/>
                <w:color w:val="auto"/>
              </w:rPr>
            </w:pPr>
            <w:r>
              <w:rPr>
                <w:rFonts w:ascii="Arial" w:cs="Arial" w:eastAsia="Arial" w:hAnsi="Arial"/>
                <w:sz w:val="16"/>
                <w:szCs w:val="16"/>
                <w:color w:val="auto"/>
              </w:rPr>
              <w:t>Corporate Governance</w:t>
            </w:r>
          </w:p>
        </w:tc>
        <w:tc>
          <w:tcPr>
            <w:tcW w:w="200" w:type="dxa"/>
            <w:vAlign w:val="bottom"/>
          </w:tcPr>
          <w:p>
            <w:pPr>
              <w:spacing w:after="0"/>
              <w:rPr>
                <w:sz w:val="18"/>
                <w:szCs w:val="18"/>
                <w:color w:val="auto"/>
              </w:rPr>
            </w:pPr>
          </w:p>
        </w:tc>
        <w:tc>
          <w:tcPr>
            <w:tcW w:w="4060" w:type="dxa"/>
            <w:vAlign w:val="bottom"/>
          </w:tcPr>
          <w:p>
            <w:pPr>
              <w:spacing w:after="0"/>
              <w:rPr>
                <w:sz w:val="18"/>
                <w:szCs w:val="18"/>
                <w:color w:val="auto"/>
              </w:rPr>
            </w:pPr>
          </w:p>
        </w:tc>
      </w:tr>
      <w:tr>
        <w:trPr>
          <w:trHeight w:val="386"/>
        </w:trPr>
        <w:tc>
          <w:tcPr>
            <w:tcW w:w="3380" w:type="dxa"/>
            <w:vAlign w:val="bottom"/>
          </w:tcPr>
          <w:p>
            <w:pPr>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color w:val="FFF51F"/>
              </w:rPr>
              <w:t>I</w:t>
            </w:r>
            <w:r>
              <w:rPr>
                <w:rFonts w:ascii="Arial" w:cs="Arial" w:eastAsia="Arial" w:hAnsi="Arial"/>
                <w:sz w:val="16"/>
                <w:szCs w:val="16"/>
                <w:b w:val="1"/>
                <w:bCs w:val="1"/>
                <w:color w:val="auto"/>
              </w:rPr>
              <w:t xml:space="preserve"> HUBBELL INCORPORATED</w:t>
            </w: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258"/>
        </w:trPr>
        <w:tc>
          <w:tcPr>
            <w:tcW w:w="3380" w:type="dxa"/>
            <w:vAlign w:val="bottom"/>
            <w:tcBorders>
              <w:bottom w:val="single" w:sz="8" w:color="C0C0C0"/>
            </w:tcBorders>
          </w:tcPr>
          <w:p>
            <w:pPr>
              <w:spacing w:after="0"/>
              <w:rPr>
                <w:sz w:val="22"/>
                <w:szCs w:val="22"/>
                <w:color w:val="auto"/>
              </w:rPr>
            </w:pPr>
          </w:p>
        </w:tc>
        <w:tc>
          <w:tcPr>
            <w:tcW w:w="240" w:type="dxa"/>
            <w:vAlign w:val="bottom"/>
            <w:tcBorders>
              <w:bottom w:val="single" w:sz="8" w:color="C0C0C0"/>
            </w:tcBorders>
          </w:tcPr>
          <w:p>
            <w:pPr>
              <w:spacing w:after="0"/>
              <w:rPr>
                <w:sz w:val="22"/>
                <w:szCs w:val="22"/>
                <w:color w:val="auto"/>
              </w:rPr>
            </w:pPr>
          </w:p>
        </w:tc>
        <w:tc>
          <w:tcPr>
            <w:tcW w:w="3360" w:type="dxa"/>
            <w:vAlign w:val="bottom"/>
            <w:tcBorders>
              <w:bottom w:val="single" w:sz="8" w:color="C0C0C0"/>
            </w:tcBorders>
          </w:tcPr>
          <w:p>
            <w:pPr>
              <w:spacing w:after="0"/>
              <w:rPr>
                <w:sz w:val="22"/>
                <w:szCs w:val="22"/>
                <w:color w:val="auto"/>
              </w:rPr>
            </w:pPr>
          </w:p>
        </w:tc>
        <w:tc>
          <w:tcPr>
            <w:tcW w:w="200" w:type="dxa"/>
            <w:vAlign w:val="bottom"/>
            <w:tcBorders>
              <w:bottom w:val="single" w:sz="8" w:color="C0C0C0"/>
            </w:tcBorders>
          </w:tcPr>
          <w:p>
            <w:pPr>
              <w:spacing w:after="0"/>
              <w:rPr>
                <w:sz w:val="22"/>
                <w:szCs w:val="22"/>
                <w:color w:val="auto"/>
              </w:rPr>
            </w:pPr>
          </w:p>
        </w:tc>
        <w:tc>
          <w:tcPr>
            <w:tcW w:w="4060" w:type="dxa"/>
            <w:vAlign w:val="bottom"/>
            <w:tcBorders>
              <w:bottom w:val="single" w:sz="8" w:color="C0C0C0"/>
            </w:tcBorders>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-5648960</wp:posOffset>
            </wp:positionV>
            <wp:extent cx="385445" cy="420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5445" cy="42037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-5648960</wp:posOffset>
            </wp:positionV>
            <wp:extent cx="386080"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6080" cy="42862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-5648960</wp:posOffset>
            </wp:positionV>
            <wp:extent cx="386080" cy="420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608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-4174490</wp:posOffset>
            </wp:positionV>
            <wp:extent cx="385445" cy="420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5445" cy="42037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-4174490</wp:posOffset>
            </wp:positionV>
            <wp:extent cx="386080" cy="4203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6080" cy="42037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-4174490</wp:posOffset>
            </wp:positionV>
            <wp:extent cx="386080" cy="4203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608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-2940050</wp:posOffset>
            </wp:positionV>
            <wp:extent cx="385445" cy="419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5445" cy="419735"/>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-2940050</wp:posOffset>
            </wp:positionV>
            <wp:extent cx="386080" cy="411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6080" cy="41148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-2940050</wp:posOffset>
            </wp:positionV>
            <wp:extent cx="386080" cy="419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608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385445" cy="4546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5445" cy="454660"/>
                    </a:xfrm>
                    <a:prstGeom prst="rect">
                      <a:avLst/>
                    </a:prstGeom>
                    <a:noFill/>
                  </pic:spPr>
                </pic:pic>
              </a:graphicData>
            </a:graphic>
          </wp:anchor>
        </w:drawing>
        <w:drawing>
          <wp:anchor simplePos="0" relativeHeight="251657728" behindDoc="1" locked="0" layoutInCell="0" allowOverlap="1">
            <wp:simplePos x="0" y="0"/>
            <wp:positionH relativeFrom="column">
              <wp:posOffset>2293620</wp:posOffset>
            </wp:positionH>
            <wp:positionV relativeFrom="paragraph">
              <wp:posOffset>-1585595</wp:posOffset>
            </wp:positionV>
            <wp:extent cx="386080" cy="419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6080" cy="41973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 2:</w:t>
      </w:r>
    </w:p>
    <w:p>
      <w:pPr>
        <w:spacing w:after="0" w:line="44" w:lineRule="exact"/>
        <w:rPr>
          <w:sz w:val="20"/>
          <w:szCs w:val="20"/>
          <w:color w:val="auto"/>
        </w:rPr>
      </w:pPr>
    </w:p>
    <w:p>
      <w:pPr>
        <w:ind w:right="60"/>
        <w:spacing w:after="0" w:line="265" w:lineRule="auto"/>
        <w:rPr>
          <w:sz w:val="20"/>
          <w:szCs w:val="20"/>
          <w:color w:val="auto"/>
        </w:rPr>
      </w:pPr>
      <w:r>
        <w:rPr>
          <w:rFonts w:ascii="Arial" w:cs="Arial" w:eastAsia="Arial" w:hAnsi="Arial"/>
          <w:sz w:val="32"/>
          <w:szCs w:val="32"/>
          <w:color w:val="auto"/>
        </w:rPr>
        <w:t>Say on pay: advisory vote on the compensation of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3860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line="286" w:lineRule="auto"/>
        <w:rPr>
          <w:sz w:val="20"/>
          <w:szCs w:val="20"/>
          <w:color w:val="auto"/>
        </w:rPr>
      </w:pPr>
      <w:r>
        <w:rPr>
          <w:rFonts w:ascii="Arial" w:cs="Arial" w:eastAsia="Arial" w:hAnsi="Arial"/>
          <w:sz w:val="16"/>
          <w:szCs w:val="16"/>
          <w:color w:val="auto"/>
        </w:rPr>
        <w:t xml:space="preserve">See page </w:t>
      </w:r>
      <w:r>
        <w:rPr>
          <w:rFonts w:ascii="Arial" w:cs="Arial" w:eastAsia="Arial" w:hAnsi="Arial"/>
          <w:sz w:val="16"/>
          <w:szCs w:val="16"/>
          <w:b w:val="1"/>
          <w:bCs w:val="1"/>
          <w:color w:val="auto"/>
        </w:rPr>
        <w:t>35</w:t>
      </w:r>
      <w:r>
        <w:rPr>
          <w:rFonts w:ascii="Arial" w:cs="Arial" w:eastAsia="Arial" w:hAnsi="Arial"/>
          <w:sz w:val="16"/>
          <w:szCs w:val="16"/>
          <w:color w:val="auto"/>
        </w:rPr>
        <w:t xml:space="preserve"> for further information.</w:t>
      </w:r>
    </w:p>
    <w:p>
      <w:pPr>
        <w:spacing w:after="0" w:line="213" w:lineRule="exact"/>
        <w:rPr>
          <w:sz w:val="20"/>
          <w:szCs w:val="20"/>
          <w:color w:val="auto"/>
        </w:rPr>
      </w:pPr>
    </w:p>
    <w:p>
      <w:pPr>
        <w:sectPr>
          <w:pgSz w:w="11900" w:h="16838" w:orient="portrait"/>
          <w:cols w:equalWidth="0" w:num="2">
            <w:col w:w="8920" w:space="720"/>
            <w:col w:w="1600"/>
          </w:cols>
          <w:pgMar w:left="320" w:top="238" w:right="339" w:bottom="1440" w:gutter="0" w:footer="0" w:header="0"/>
        </w:sectPr>
      </w:pPr>
    </w:p>
    <w:p>
      <w:pPr>
        <w:spacing w:after="0" w:line="21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The Board recommends a vote for this proposal.</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Compensation Highlights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Compensation Philosophy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Hubbell’s compensation program is designed to achieve the following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213995" cy="2146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Align the interests of our executives and our shareholders by linking executive pay to Company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13995"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Incentivize high-quality executive talent essential to our immediate and long-term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213995" cy="2146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3995" cy="214630"/>
                    </a:xfrm>
                    <a:prstGeom prst="rect">
                      <a:avLst/>
                    </a:prstGeom>
                    <a:noFill/>
                  </pic:spPr>
                </pic:pic>
              </a:graphicData>
            </a:graphic>
          </wp:anchor>
        </w:drawing>
      </w:r>
    </w:p>
    <w:p>
      <w:pPr>
        <w:spacing w:after="0" w:line="2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Target compensation for our executives to align with relevant external benchmarks.</w:t>
      </w:r>
    </w:p>
    <w:p>
      <w:pPr>
        <w:spacing w:after="0" w:line="267" w:lineRule="exact"/>
        <w:rPr>
          <w:sz w:val="20"/>
          <w:szCs w:val="20"/>
          <w:color w:val="auto"/>
        </w:rPr>
      </w:pPr>
    </w:p>
    <w:p>
      <w:pPr>
        <w:spacing w:after="0"/>
        <w:rPr>
          <w:sz w:val="20"/>
          <w:szCs w:val="20"/>
          <w:color w:val="auto"/>
        </w:rPr>
      </w:pPr>
      <w:r>
        <w:rPr>
          <w:rFonts w:ascii="Arial" w:cs="Arial" w:eastAsia="Arial" w:hAnsi="Arial"/>
          <w:sz w:val="25"/>
          <w:szCs w:val="25"/>
          <w:color w:val="auto"/>
        </w:rPr>
        <w:t>Elements of Compensation</w:t>
      </w:r>
    </w:p>
    <w:p>
      <w:pPr>
        <w:spacing w:after="0" w:line="208" w:lineRule="exact"/>
        <w:rPr>
          <w:sz w:val="20"/>
          <w:szCs w:val="20"/>
          <w:color w:val="auto"/>
        </w:rPr>
      </w:pPr>
    </w:p>
    <w:p>
      <w:pPr>
        <w:ind w:right="240"/>
        <w:spacing w:after="0" w:line="219" w:lineRule="auto"/>
        <w:rPr>
          <w:sz w:val="20"/>
          <w:szCs w:val="20"/>
          <w:color w:val="auto"/>
        </w:rPr>
      </w:pPr>
      <w:r>
        <w:rPr>
          <w:rFonts w:ascii="Arial" w:cs="Arial" w:eastAsia="Arial" w:hAnsi="Arial"/>
          <w:sz w:val="16"/>
          <w:szCs w:val="16"/>
          <w:color w:val="auto"/>
        </w:rPr>
        <w:t>Hubbell compensated its named executive officers (“Named Executive Officers” or “NEOs”)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using the following elements for total direct compensation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565785" cy="20656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 cy="2065655"/>
                    </a:xfrm>
                    <a:prstGeom prst="rect">
                      <a:avLst/>
                    </a:prstGeom>
                    <a:noFill/>
                  </pic:spPr>
                </pic:pic>
              </a:graphicData>
            </a:graphic>
          </wp:anchor>
        </w:drawing>
      </w:r>
    </w:p>
    <w:p>
      <w:pPr>
        <w:spacing w:after="0" w:line="186" w:lineRule="exact"/>
        <w:rPr>
          <w:sz w:val="20"/>
          <w:szCs w:val="20"/>
          <w:color w:val="auto"/>
        </w:rPr>
      </w:pPr>
    </w:p>
    <w:tbl>
      <w:tblPr>
        <w:tblLayout w:type="fixed"/>
        <w:tblInd w:w="80" w:type="dxa"/>
        <w:tblCellMar>
          <w:top w:w="0" w:type="dxa"/>
          <w:left w:w="0" w:type="dxa"/>
          <w:bottom w:w="0" w:type="dxa"/>
          <w:right w:w="0" w:type="dxa"/>
        </w:tblCellMar>
      </w:tblPr>
      <w:tr>
        <w:trPr>
          <w:trHeight w:val="223"/>
        </w:trPr>
        <w:tc>
          <w:tcPr>
            <w:tcW w:w="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2560" w:type="dxa"/>
            <w:vAlign w:val="bottom"/>
            <w:gridSpan w:val="2"/>
          </w:tcPr>
          <w:p>
            <w:pPr>
              <w:ind w:left="500"/>
              <w:spacing w:after="0"/>
              <w:rPr>
                <w:sz w:val="20"/>
                <w:szCs w:val="20"/>
                <w:color w:val="auto"/>
              </w:rPr>
            </w:pPr>
            <w:r>
              <w:rPr>
                <w:rFonts w:ascii="Arial" w:cs="Arial" w:eastAsia="Arial" w:hAnsi="Arial"/>
                <w:sz w:val="16"/>
                <w:szCs w:val="16"/>
                <w:b w:val="1"/>
                <w:bCs w:val="1"/>
                <w:color w:val="auto"/>
              </w:rPr>
              <w:t>Target Compensation Mix</w:t>
            </w:r>
          </w:p>
        </w:tc>
        <w:tc>
          <w:tcPr>
            <w:tcW w:w="0" w:type="dxa"/>
            <w:vAlign w:val="bottom"/>
          </w:tcPr>
          <w:p>
            <w:pPr>
              <w:spacing w:after="0"/>
              <w:rPr>
                <w:sz w:val="1"/>
                <w:szCs w:val="1"/>
                <w:color w:val="auto"/>
              </w:rPr>
            </w:pPr>
          </w:p>
        </w:tc>
      </w:tr>
      <w:tr>
        <w:trPr>
          <w:trHeight w:val="61"/>
        </w:trPr>
        <w:tc>
          <w:tcPr>
            <w:tcW w:w="8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820" w:type="dxa"/>
            <w:vAlign w:val="bottom"/>
          </w:tcPr>
          <w:p>
            <w:pPr>
              <w:spacing w:after="0"/>
              <w:rPr>
                <w:sz w:val="20"/>
                <w:szCs w:val="20"/>
                <w:color w:val="auto"/>
              </w:rPr>
            </w:pPr>
          </w:p>
        </w:tc>
        <w:tc>
          <w:tcPr>
            <w:tcW w:w="138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Element</w:t>
            </w:r>
          </w:p>
        </w:tc>
        <w:tc>
          <w:tcPr>
            <w:tcW w:w="6400" w:type="dxa"/>
            <w:vAlign w:val="bottom"/>
            <w:shd w:val="clear" w:color="auto" w:fill="FFE933"/>
          </w:tcPr>
          <w:p>
            <w:pPr>
              <w:ind w:left="340"/>
              <w:spacing w:after="0"/>
              <w:rPr>
                <w:sz w:val="20"/>
                <w:szCs w:val="20"/>
                <w:color w:val="auto"/>
              </w:rPr>
            </w:pPr>
            <w:r>
              <w:rPr>
                <w:rFonts w:ascii="Arial" w:cs="Arial" w:eastAsia="Arial" w:hAnsi="Arial"/>
                <w:sz w:val="16"/>
                <w:szCs w:val="16"/>
                <w:b w:val="1"/>
                <w:bCs w:val="1"/>
                <w:color w:val="auto"/>
              </w:rPr>
              <w:t>Description</w:t>
            </w:r>
          </w:p>
        </w:tc>
        <w:tc>
          <w:tcPr>
            <w:tcW w:w="1080" w:type="dxa"/>
            <w:vAlign w:val="bottom"/>
            <w:shd w:val="clear" w:color="auto" w:fill="FFE933"/>
          </w:tcPr>
          <w:p>
            <w:pPr>
              <w:ind w:left="380"/>
              <w:spacing w:after="0"/>
              <w:rPr>
                <w:sz w:val="20"/>
                <w:szCs w:val="20"/>
                <w:color w:val="auto"/>
              </w:rPr>
            </w:pPr>
            <w:r>
              <w:rPr>
                <w:rFonts w:ascii="Arial" w:cs="Arial" w:eastAsia="Arial" w:hAnsi="Arial"/>
                <w:sz w:val="16"/>
                <w:szCs w:val="16"/>
                <w:b w:val="1"/>
                <w:bCs w:val="1"/>
                <w:color w:val="auto"/>
              </w:rPr>
              <w:t>CEO</w:t>
            </w:r>
          </w:p>
        </w:tc>
        <w:tc>
          <w:tcPr>
            <w:tcW w:w="1480" w:type="dxa"/>
            <w:vAlign w:val="bottom"/>
            <w:shd w:val="clear" w:color="auto" w:fill="FFE933"/>
          </w:tcPr>
          <w:p>
            <w:pPr>
              <w:ind w:left="360"/>
              <w:spacing w:after="0"/>
              <w:rPr>
                <w:sz w:val="20"/>
                <w:szCs w:val="20"/>
                <w:color w:val="auto"/>
              </w:rPr>
            </w:pPr>
            <w:r>
              <w:rPr>
                <w:rFonts w:ascii="Arial" w:cs="Arial" w:eastAsia="Arial" w:hAnsi="Arial"/>
                <w:sz w:val="16"/>
                <w:szCs w:val="16"/>
                <w:b w:val="1"/>
                <w:bCs w:val="1"/>
                <w:color w:val="auto"/>
              </w:rPr>
              <w:t>Other NEOs</w:t>
            </w:r>
          </w:p>
        </w:tc>
        <w:tc>
          <w:tcPr>
            <w:tcW w:w="0" w:type="dxa"/>
            <w:vAlign w:val="bottom"/>
          </w:tcPr>
          <w:p>
            <w:pPr>
              <w:spacing w:after="0"/>
              <w:rPr>
                <w:sz w:val="1"/>
                <w:szCs w:val="1"/>
                <w:color w:val="auto"/>
              </w:rPr>
            </w:pPr>
          </w:p>
        </w:tc>
      </w:tr>
      <w:tr>
        <w:trPr>
          <w:trHeight w:val="89"/>
        </w:trPr>
        <w:tc>
          <w:tcPr>
            <w:tcW w:w="820" w:type="dxa"/>
            <w:vAlign w:val="bottom"/>
          </w:tcPr>
          <w:p>
            <w:pPr>
              <w:spacing w:after="0"/>
              <w:rPr>
                <w:sz w:val="7"/>
                <w:szCs w:val="7"/>
                <w:color w:val="auto"/>
              </w:rPr>
            </w:pPr>
          </w:p>
        </w:tc>
        <w:tc>
          <w:tcPr>
            <w:tcW w:w="1380" w:type="dxa"/>
            <w:vAlign w:val="bottom"/>
            <w:shd w:val="clear" w:color="auto" w:fill="FFE933"/>
          </w:tcPr>
          <w:p>
            <w:pPr>
              <w:spacing w:after="0"/>
              <w:rPr>
                <w:sz w:val="7"/>
                <w:szCs w:val="7"/>
                <w:color w:val="auto"/>
              </w:rPr>
            </w:pPr>
          </w:p>
        </w:tc>
        <w:tc>
          <w:tcPr>
            <w:tcW w:w="6400" w:type="dxa"/>
            <w:vAlign w:val="bottom"/>
            <w:shd w:val="clear" w:color="auto" w:fill="FFE933"/>
          </w:tcPr>
          <w:p>
            <w:pPr>
              <w:spacing w:after="0"/>
              <w:rPr>
                <w:sz w:val="7"/>
                <w:szCs w:val="7"/>
                <w:color w:val="auto"/>
              </w:rPr>
            </w:pPr>
          </w:p>
        </w:tc>
        <w:tc>
          <w:tcPr>
            <w:tcW w:w="1080" w:type="dxa"/>
            <w:vAlign w:val="bottom"/>
            <w:shd w:val="clear" w:color="auto" w:fill="FFE933"/>
          </w:tcPr>
          <w:p>
            <w:pPr>
              <w:spacing w:after="0"/>
              <w:rPr>
                <w:sz w:val="7"/>
                <w:szCs w:val="7"/>
                <w:color w:val="auto"/>
              </w:rPr>
            </w:pPr>
          </w:p>
        </w:tc>
        <w:tc>
          <w:tcPr>
            <w:tcW w:w="1480" w:type="dxa"/>
            <w:vAlign w:val="bottom"/>
            <w:shd w:val="clear" w:color="auto" w:fill="FFE933"/>
          </w:tcPr>
          <w:p>
            <w:pPr>
              <w:spacing w:after="0"/>
              <w:rPr>
                <w:sz w:val="7"/>
                <w:szCs w:val="7"/>
                <w:color w:val="auto"/>
              </w:rPr>
            </w:pPr>
          </w:p>
        </w:tc>
        <w:tc>
          <w:tcPr>
            <w:tcW w:w="0" w:type="dxa"/>
            <w:vAlign w:val="bottom"/>
          </w:tcPr>
          <w:p>
            <w:pPr>
              <w:spacing w:after="0"/>
              <w:rPr>
                <w:sz w:val="1"/>
                <w:szCs w:val="1"/>
                <w:color w:val="auto"/>
              </w:rPr>
            </w:pPr>
          </w:p>
        </w:tc>
      </w:tr>
      <w:tr>
        <w:trPr>
          <w:trHeight w:val="519"/>
        </w:trPr>
        <w:tc>
          <w:tcPr>
            <w:tcW w:w="820" w:type="dxa"/>
            <w:vAlign w:val="bottom"/>
          </w:tcPr>
          <w:p>
            <w:pPr>
              <w:spacing w:after="0"/>
              <w:rPr>
                <w:sz w:val="24"/>
                <w:szCs w:val="24"/>
                <w:color w:val="auto"/>
              </w:rPr>
            </w:pPr>
          </w:p>
        </w:tc>
        <w:tc>
          <w:tcPr>
            <w:tcW w:w="1380" w:type="dxa"/>
            <w:vAlign w:val="bottom"/>
          </w:tcPr>
          <w:p>
            <w:pPr>
              <w:ind w:left="60"/>
              <w:spacing w:after="0"/>
              <w:rPr>
                <w:sz w:val="20"/>
                <w:szCs w:val="20"/>
                <w:color w:val="auto"/>
              </w:rPr>
            </w:pPr>
            <w:r>
              <w:rPr>
                <w:rFonts w:ascii="Arial" w:cs="Arial" w:eastAsia="Arial" w:hAnsi="Arial"/>
                <w:sz w:val="16"/>
                <w:szCs w:val="16"/>
                <w:b w:val="1"/>
                <w:bCs w:val="1"/>
                <w:color w:val="auto"/>
              </w:rPr>
              <w:t>Salary</w:t>
            </w:r>
          </w:p>
        </w:tc>
        <w:tc>
          <w:tcPr>
            <w:tcW w:w="6400" w:type="dxa"/>
            <w:vAlign w:val="bottom"/>
          </w:tcPr>
          <w:p>
            <w:pPr>
              <w:ind w:left="340"/>
              <w:spacing w:after="0"/>
              <w:rPr>
                <w:sz w:val="20"/>
                <w:szCs w:val="20"/>
                <w:color w:val="auto"/>
              </w:rPr>
            </w:pPr>
            <w:r>
              <w:rPr>
                <w:rFonts w:ascii="Arial" w:cs="Arial" w:eastAsia="Arial" w:hAnsi="Arial"/>
                <w:sz w:val="16"/>
                <w:szCs w:val="16"/>
                <w:color w:val="auto"/>
              </w:rPr>
              <w:t>A competitive level of cash to attract and retain executive talent.</w:t>
            </w: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820" w:type="dxa"/>
            <w:vAlign w:val="bottom"/>
          </w:tcPr>
          <w:p>
            <w:pPr>
              <w:jc w:val="center"/>
              <w:spacing w:after="0"/>
              <w:rPr>
                <w:sz w:val="20"/>
                <w:szCs w:val="20"/>
                <w:color w:val="auto"/>
              </w:rPr>
            </w:pPr>
            <w:r>
              <w:rPr>
                <w:rFonts w:ascii="Arial" w:cs="Arial" w:eastAsia="Arial" w:hAnsi="Arial"/>
                <w:sz w:val="16"/>
                <w:szCs w:val="16"/>
                <w:b w:val="1"/>
                <w:bCs w:val="1"/>
                <w:color w:val="FFFFFF"/>
                <w:w w:val="97"/>
              </w:rPr>
              <w:t>Targeted</w:t>
            </w:r>
          </w:p>
        </w:tc>
        <w:tc>
          <w:tcPr>
            <w:tcW w:w="1380" w:type="dxa"/>
            <w:vAlign w:val="bottom"/>
            <w:tcBorders>
              <w:bottom w:val="single" w:sz="8" w:color="BCBEC0"/>
            </w:tcBorders>
          </w:tcPr>
          <w:p>
            <w:pPr>
              <w:spacing w:after="0"/>
              <w:rPr>
                <w:sz w:val="24"/>
                <w:szCs w:val="24"/>
                <w:color w:val="auto"/>
              </w:rPr>
            </w:pPr>
          </w:p>
        </w:tc>
        <w:tc>
          <w:tcPr>
            <w:tcW w:w="6400" w:type="dxa"/>
            <w:vAlign w:val="bottom"/>
            <w:tcBorders>
              <w:bottom w:val="single" w:sz="8" w:color="BCBEC0"/>
            </w:tcBorders>
          </w:tcPr>
          <w:p>
            <w:pPr>
              <w:spacing w:after="0"/>
              <w:rPr>
                <w:sz w:val="24"/>
                <w:szCs w:val="24"/>
                <w:color w:val="auto"/>
              </w:rPr>
            </w:pPr>
          </w:p>
        </w:tc>
        <w:tc>
          <w:tcPr>
            <w:tcW w:w="1080" w:type="dxa"/>
            <w:vAlign w:val="bottom"/>
            <w:tcBorders>
              <w:bottom w:val="single" w:sz="8" w:color="BCBEC0"/>
            </w:tcBorders>
          </w:tcPr>
          <w:p>
            <w:pPr>
              <w:spacing w:after="0"/>
              <w:rPr>
                <w:sz w:val="24"/>
                <w:szCs w:val="24"/>
                <w:color w:val="auto"/>
              </w:rPr>
            </w:pPr>
          </w:p>
        </w:tc>
        <w:tc>
          <w:tcPr>
            <w:tcW w:w="1480" w:type="dxa"/>
            <w:vAlign w:val="bottom"/>
            <w:tcBorders>
              <w:bottom w:val="single" w:sz="8" w:color="BCBEC0"/>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20" w:type="dxa"/>
            <w:vAlign w:val="bottom"/>
          </w:tcPr>
          <w:p>
            <w:pPr>
              <w:jc w:val="center"/>
              <w:spacing w:after="0"/>
              <w:rPr>
                <w:sz w:val="20"/>
                <w:szCs w:val="20"/>
                <w:color w:val="auto"/>
              </w:rPr>
            </w:pPr>
            <w:r>
              <w:rPr>
                <w:rFonts w:ascii="Arial" w:cs="Arial" w:eastAsia="Arial" w:hAnsi="Arial"/>
                <w:sz w:val="16"/>
                <w:szCs w:val="16"/>
                <w:b w:val="1"/>
                <w:bCs w:val="1"/>
                <w:color w:val="FFFFFF"/>
              </w:rPr>
              <w:t>at 50th</w:t>
            </w:r>
          </w:p>
        </w:tc>
        <w:tc>
          <w:tcPr>
            <w:tcW w:w="13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Annual Cash</w:t>
            </w:r>
          </w:p>
        </w:tc>
        <w:tc>
          <w:tcPr>
            <w:tcW w:w="6400" w:type="dxa"/>
            <w:vAlign w:val="bottom"/>
            <w:vMerge w:val="restart"/>
          </w:tcPr>
          <w:p>
            <w:pPr>
              <w:ind w:left="340"/>
              <w:spacing w:after="0"/>
              <w:rPr>
                <w:sz w:val="20"/>
                <w:szCs w:val="20"/>
                <w:color w:val="auto"/>
              </w:rPr>
            </w:pPr>
            <w:r>
              <w:rPr>
                <w:rFonts w:ascii="Arial" w:cs="Arial" w:eastAsia="Arial" w:hAnsi="Arial"/>
                <w:sz w:val="16"/>
                <w:szCs w:val="16"/>
                <w:color w:val="auto"/>
              </w:rPr>
              <w:t>Amounts awarded based on achievements toward Hubbell’s financial goals and</w:t>
            </w: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20" w:type="dxa"/>
            <w:vAlign w:val="bottom"/>
          </w:tcPr>
          <w:p>
            <w:pPr>
              <w:jc w:val="center"/>
              <w:spacing w:after="0" w:line="175" w:lineRule="exact"/>
              <w:rPr>
                <w:sz w:val="20"/>
                <w:szCs w:val="20"/>
                <w:color w:val="auto"/>
              </w:rPr>
            </w:pPr>
            <w:r>
              <w:rPr>
                <w:rFonts w:ascii="Arial" w:cs="Arial" w:eastAsia="Arial" w:hAnsi="Arial"/>
                <w:sz w:val="16"/>
                <w:szCs w:val="16"/>
                <w:b w:val="1"/>
                <w:bCs w:val="1"/>
                <w:color w:val="FFFFFF"/>
              </w:rPr>
              <w:t>percentile</w:t>
            </w:r>
          </w:p>
        </w:tc>
        <w:tc>
          <w:tcPr>
            <w:tcW w:w="1380" w:type="dxa"/>
            <w:vAlign w:val="bottom"/>
            <w:vMerge w:val="continue"/>
          </w:tcPr>
          <w:p>
            <w:pPr>
              <w:spacing w:after="0"/>
              <w:rPr>
                <w:sz w:val="15"/>
                <w:szCs w:val="15"/>
                <w:color w:val="auto"/>
              </w:rPr>
            </w:pPr>
          </w:p>
        </w:tc>
        <w:tc>
          <w:tcPr>
            <w:tcW w:w="640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820" w:type="dxa"/>
            <w:vAlign w:val="bottom"/>
          </w:tcPr>
          <w:p>
            <w:pPr>
              <w:jc w:val="center"/>
              <w:spacing w:after="0"/>
              <w:rPr>
                <w:sz w:val="20"/>
                <w:szCs w:val="20"/>
                <w:color w:val="auto"/>
              </w:rPr>
            </w:pPr>
            <w:r>
              <w:rPr>
                <w:rFonts w:ascii="Arial" w:cs="Arial" w:eastAsia="Arial" w:hAnsi="Arial"/>
                <w:sz w:val="16"/>
                <w:szCs w:val="16"/>
                <w:b w:val="1"/>
                <w:bCs w:val="1"/>
                <w:color w:val="FFFFFF"/>
                <w:w w:val="99"/>
              </w:rPr>
              <w:t>of peers</w:t>
            </w:r>
          </w:p>
        </w:tc>
        <w:tc>
          <w:tcPr>
            <w:tcW w:w="1380" w:type="dxa"/>
            <w:vAlign w:val="bottom"/>
          </w:tcPr>
          <w:p>
            <w:pPr>
              <w:ind w:left="60"/>
              <w:spacing w:after="0"/>
              <w:rPr>
                <w:sz w:val="20"/>
                <w:szCs w:val="20"/>
                <w:color w:val="auto"/>
              </w:rPr>
            </w:pPr>
            <w:r>
              <w:rPr>
                <w:rFonts w:ascii="Arial" w:cs="Arial" w:eastAsia="Arial" w:hAnsi="Arial"/>
                <w:sz w:val="16"/>
                <w:szCs w:val="16"/>
                <w:b w:val="1"/>
                <w:bCs w:val="1"/>
                <w:color w:val="auto"/>
              </w:rPr>
              <w:t>Incentive</w:t>
            </w:r>
          </w:p>
        </w:tc>
        <w:tc>
          <w:tcPr>
            <w:tcW w:w="6400" w:type="dxa"/>
            <w:vAlign w:val="bottom"/>
          </w:tcPr>
          <w:p>
            <w:pPr>
              <w:ind w:left="340"/>
              <w:spacing w:after="0"/>
              <w:rPr>
                <w:sz w:val="20"/>
                <w:szCs w:val="20"/>
                <w:color w:val="auto"/>
              </w:rPr>
            </w:pPr>
            <w:r>
              <w:rPr>
                <w:rFonts w:ascii="Arial" w:cs="Arial" w:eastAsia="Arial" w:hAnsi="Arial"/>
                <w:sz w:val="16"/>
                <w:szCs w:val="16"/>
                <w:color w:val="auto"/>
              </w:rPr>
              <w:t>individual performance against strategic objectives.</w:t>
            </w:r>
          </w:p>
        </w:tc>
        <w:tc>
          <w:tcPr>
            <w:tcW w:w="10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150495</wp:posOffset>
            </wp:positionV>
            <wp:extent cx="65665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-937895</wp:posOffset>
            </wp:positionV>
            <wp:extent cx="1328420" cy="1036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8420" cy="1036955"/>
                    </a:xfrm>
                    <a:prstGeom prst="rect">
                      <a:avLst/>
                    </a:prstGeom>
                    <a:noFill/>
                  </pic:spPr>
                </pic:pic>
              </a:graphicData>
            </a:graphic>
          </wp:anchor>
        </w:drawing>
      </w:r>
    </w:p>
    <w:p>
      <w:pPr>
        <w:spacing w:after="0" w:line="243" w:lineRule="exact"/>
        <w:rPr>
          <w:sz w:val="20"/>
          <w:szCs w:val="20"/>
          <w:color w:val="auto"/>
        </w:rPr>
      </w:pPr>
    </w:p>
    <w:tbl>
      <w:tblPr>
        <w:tblLayout w:type="fixed"/>
        <w:tblInd w:w="960" w:type="dxa"/>
        <w:tblCellMar>
          <w:top w:w="0" w:type="dxa"/>
          <w:left w:w="0" w:type="dxa"/>
          <w:bottom w:w="0" w:type="dxa"/>
          <w:right w:w="0" w:type="dxa"/>
        </w:tblCellMar>
      </w:tblPr>
      <w:tr>
        <w:trPr>
          <w:trHeight w:val="189"/>
        </w:trPr>
        <w:tc>
          <w:tcPr>
            <w:tcW w:w="1520" w:type="dxa"/>
            <w:vAlign w:val="bottom"/>
          </w:tcPr>
          <w:p>
            <w:pPr>
              <w:spacing w:after="0"/>
              <w:rPr>
                <w:sz w:val="20"/>
                <w:szCs w:val="20"/>
                <w:color w:val="auto"/>
              </w:rPr>
            </w:pPr>
            <w:r>
              <w:rPr>
                <w:rFonts w:ascii="Arial" w:cs="Arial" w:eastAsia="Arial" w:hAnsi="Arial"/>
                <w:sz w:val="16"/>
                <w:szCs w:val="16"/>
                <w:b w:val="1"/>
                <w:bCs w:val="1"/>
                <w:color w:val="auto"/>
              </w:rPr>
              <w:t>Long</w:t>
            </w:r>
            <w:r>
              <w:rPr>
                <w:rFonts w:ascii="Arial" w:cs="Arial" w:eastAsia="Arial" w:hAnsi="Arial"/>
                <w:sz w:val="16"/>
                <w:szCs w:val="16"/>
                <w:color w:val="auto"/>
              </w:rPr>
              <w:t>-</w:t>
            </w:r>
            <w:r>
              <w:rPr>
                <w:rFonts w:ascii="Arial" w:cs="Arial" w:eastAsia="Arial" w:hAnsi="Arial"/>
                <w:sz w:val="16"/>
                <w:szCs w:val="16"/>
                <w:b w:val="1"/>
                <w:bCs w:val="1"/>
                <w:color w:val="auto"/>
              </w:rPr>
              <w:t>Term Equity</w:t>
            </w:r>
          </w:p>
        </w:tc>
        <w:tc>
          <w:tcPr>
            <w:tcW w:w="5560" w:type="dxa"/>
            <w:vAlign w:val="bottom"/>
            <w:vMerge w:val="restart"/>
          </w:tcPr>
          <w:p>
            <w:pPr>
              <w:ind w:left="140"/>
              <w:spacing w:after="0"/>
              <w:rPr>
                <w:sz w:val="20"/>
                <w:szCs w:val="20"/>
                <w:color w:val="auto"/>
              </w:rPr>
            </w:pPr>
            <w:r>
              <w:rPr>
                <w:rFonts w:ascii="Arial" w:cs="Arial" w:eastAsia="Arial" w:hAnsi="Arial"/>
                <w:sz w:val="16"/>
                <w:szCs w:val="16"/>
                <w:color w:val="auto"/>
              </w:rPr>
              <w:t>A mix of predominantly performance-based equity awards designed to drive</w:t>
            </w:r>
          </w:p>
        </w:tc>
        <w:tc>
          <w:tcPr>
            <w:tcW w:w="0" w:type="dxa"/>
            <w:vAlign w:val="bottom"/>
          </w:tcPr>
          <w:p>
            <w:pPr>
              <w:spacing w:after="0"/>
              <w:rPr>
                <w:sz w:val="1"/>
                <w:szCs w:val="1"/>
                <w:color w:val="auto"/>
              </w:rPr>
            </w:pPr>
          </w:p>
        </w:tc>
      </w:tr>
      <w:tr>
        <w:trPr>
          <w:trHeight w:val="95"/>
        </w:trPr>
        <w:tc>
          <w:tcPr>
            <w:tcW w:w="1520" w:type="dxa"/>
            <w:vAlign w:val="bottom"/>
            <w:vMerge w:val="restart"/>
          </w:tcPr>
          <w:p>
            <w:pPr>
              <w:spacing w:after="0"/>
              <w:rPr>
                <w:sz w:val="20"/>
                <w:szCs w:val="20"/>
                <w:color w:val="auto"/>
              </w:rPr>
            </w:pPr>
            <w:r>
              <w:rPr>
                <w:rFonts w:ascii="Arial" w:cs="Arial" w:eastAsia="Arial" w:hAnsi="Arial"/>
                <w:sz w:val="16"/>
                <w:szCs w:val="16"/>
                <w:b w:val="1"/>
                <w:bCs w:val="1"/>
                <w:color w:val="auto"/>
              </w:rPr>
              <w:t>Incentive</w:t>
            </w:r>
          </w:p>
        </w:tc>
        <w:tc>
          <w:tcPr>
            <w:tcW w:w="5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1520" w:type="dxa"/>
            <w:vAlign w:val="bottom"/>
            <w:vMerge w:val="continue"/>
          </w:tcPr>
          <w:p>
            <w:pPr>
              <w:spacing w:after="0"/>
              <w:rPr>
                <w:sz w:val="11"/>
                <w:szCs w:val="11"/>
                <w:color w:val="auto"/>
              </w:rPr>
            </w:pPr>
          </w:p>
        </w:tc>
        <w:tc>
          <w:tcPr>
            <w:tcW w:w="5560" w:type="dxa"/>
            <w:vAlign w:val="bottom"/>
            <w:vMerge w:val="restart"/>
          </w:tcPr>
          <w:p>
            <w:pPr>
              <w:ind w:left="140"/>
              <w:spacing w:after="0"/>
              <w:rPr>
                <w:sz w:val="20"/>
                <w:szCs w:val="20"/>
                <w:color w:val="auto"/>
              </w:rPr>
            </w:pPr>
            <w:r>
              <w:rPr>
                <w:rFonts w:ascii="Arial" w:cs="Arial" w:eastAsia="Arial" w:hAnsi="Arial"/>
                <w:sz w:val="16"/>
                <w:szCs w:val="16"/>
                <w:color w:val="auto"/>
              </w:rPr>
              <w:t>Hubbell’s performance and align executives’ interests with those of our</w:t>
            </w:r>
          </w:p>
        </w:tc>
        <w:tc>
          <w:tcPr>
            <w:tcW w:w="0" w:type="dxa"/>
            <w:vAlign w:val="bottom"/>
          </w:tcPr>
          <w:p>
            <w:pPr>
              <w:spacing w:after="0"/>
              <w:rPr>
                <w:sz w:val="1"/>
                <w:szCs w:val="1"/>
                <w:color w:val="auto"/>
              </w:rPr>
            </w:pPr>
          </w:p>
        </w:tc>
      </w:tr>
      <w:tr>
        <w:trPr>
          <w:trHeight w:val="61"/>
        </w:trPr>
        <w:tc>
          <w:tcPr>
            <w:tcW w:w="1520" w:type="dxa"/>
            <w:vAlign w:val="bottom"/>
          </w:tcPr>
          <w:p>
            <w:pPr>
              <w:spacing w:after="0"/>
              <w:rPr>
                <w:sz w:val="5"/>
                <w:szCs w:val="5"/>
                <w:color w:val="auto"/>
              </w:rPr>
            </w:pPr>
          </w:p>
        </w:tc>
        <w:tc>
          <w:tcPr>
            <w:tcW w:w="5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520" w:type="dxa"/>
            <w:vAlign w:val="bottom"/>
          </w:tcPr>
          <w:p>
            <w:pPr>
              <w:spacing w:after="0"/>
              <w:rPr>
                <w:sz w:val="19"/>
                <w:szCs w:val="19"/>
                <w:color w:val="auto"/>
              </w:rPr>
            </w:pPr>
          </w:p>
        </w:tc>
        <w:tc>
          <w:tcPr>
            <w:tcW w:w="5560" w:type="dxa"/>
            <w:vAlign w:val="bottom"/>
          </w:tcPr>
          <w:p>
            <w:pPr>
              <w:ind w:left="140"/>
              <w:spacing w:after="0"/>
              <w:rPr>
                <w:sz w:val="20"/>
                <w:szCs w:val="20"/>
                <w:color w:val="auto"/>
              </w:rPr>
            </w:pPr>
            <w:r>
              <w:rPr>
                <w:rFonts w:ascii="Arial" w:cs="Arial" w:eastAsia="Arial" w:hAnsi="Arial"/>
                <w:sz w:val="16"/>
                <w:szCs w:val="16"/>
                <w:color w:val="auto"/>
              </w:rPr>
              <w:t xml:space="preserve">shareholders. </w:t>
            </w:r>
            <w:r>
              <w:rPr>
                <w:rFonts w:ascii="Arial" w:cs="Arial" w:eastAsia="Arial" w:hAnsi="Arial"/>
                <w:sz w:val="16"/>
                <w:szCs w:val="16"/>
                <w:b w:val="1"/>
                <w:bCs w:val="1"/>
                <w:color w:val="auto"/>
              </w:rPr>
              <w:t>75% of equity awards are performance</w:t>
            </w:r>
            <w:r>
              <w:rPr>
                <w:rFonts w:ascii="Arial" w:cs="Arial" w:eastAsia="Arial" w:hAnsi="Arial"/>
                <w:sz w:val="16"/>
                <w:szCs w:val="16"/>
                <w:color w:val="auto"/>
              </w:rPr>
              <w:t>-</w:t>
            </w:r>
            <w:r>
              <w:rPr>
                <w:rFonts w:ascii="Arial" w:cs="Arial" w:eastAsia="Arial" w:hAnsi="Arial"/>
                <w:sz w:val="16"/>
                <w:szCs w:val="16"/>
                <w:b w:val="1"/>
                <w:bCs w:val="1"/>
                <w:color w:val="auto"/>
              </w:rPr>
              <w:t>based</w:t>
            </w: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-431800</wp:posOffset>
            </wp:positionV>
            <wp:extent cx="6566535" cy="540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66535" cy="540385"/>
                    </a:xfrm>
                    <a:prstGeom prst="rect">
                      <a:avLst/>
                    </a:prstGeom>
                    <a:noFill/>
                  </pic:spPr>
                </pic:pic>
              </a:graphicData>
            </a:graphic>
          </wp:anchor>
        </w:drawing>
      </w:r>
    </w:p>
    <w:p>
      <w:pPr>
        <w:spacing w:after="0" w:line="244" w:lineRule="exact"/>
        <w:rPr>
          <w:sz w:val="20"/>
          <w:szCs w:val="20"/>
          <w:color w:val="auto"/>
        </w:rPr>
      </w:pPr>
    </w:p>
    <w:p>
      <w:pPr>
        <w:ind w:left="300" w:hanging="292"/>
        <w:spacing w:after="0"/>
        <w:tabs>
          <w:tab w:leader="none" w:pos="300" w:val="left"/>
        </w:tabs>
        <w:numPr>
          <w:ilvl w:val="0"/>
          <w:numId w:val="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Named Executive Officers or NEOs shall mean the individuals listed in the Compensation Discussion and Analysis section on page 36.</w:t>
      </w:r>
    </w:p>
    <w:p>
      <w:pPr>
        <w:spacing w:after="0" w:line="1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color w:val="FFF51F"/>
        </w:rPr>
        <w:t>I</w:t>
      </w:r>
      <w:r>
        <w:rPr>
          <w:sz w:val="20"/>
          <w:szCs w:val="20"/>
          <w:color w:val="auto"/>
        </w:rPr>
        <w:tab/>
      </w:r>
      <w:r>
        <w:rPr>
          <w:rFonts w:ascii="Arial" w:cs="Arial" w:eastAsia="Arial" w:hAnsi="Arial"/>
          <w:sz w:val="16"/>
          <w:szCs w:val="16"/>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Short and Long-Term Incentives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w:t>
      </w:r>
      <w:r>
        <w:rPr>
          <w:rFonts w:ascii="Arial" w:cs="Arial" w:eastAsia="Arial" w:hAnsi="Arial"/>
          <w:sz w:val="22"/>
          <w:szCs w:val="22"/>
          <w:color w:val="auto"/>
        </w:rPr>
        <w:t>-</w:t>
      </w:r>
      <w:r>
        <w:rPr>
          <w:rFonts w:ascii="Arial" w:cs="Arial" w:eastAsia="Arial" w:hAnsi="Arial"/>
          <w:sz w:val="22"/>
          <w:szCs w:val="22"/>
          <w:b w:val="1"/>
          <w:bCs w:val="1"/>
          <w:color w:val="auto"/>
        </w:rPr>
        <w:t>Term Incentive (“STI”) Design</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2025 short-term incentive awards for the NEOs (including our CEO) were based 80% on Hubbell’s financial performance and 20% on their individual contributions toward achievement of Hubbell’s strategic objectives. This design prioritizes and appropriately rewards performance on critical metrics including talent development, acquisitions, innovation, footprint optimization and customer satisfaction.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100330</wp:posOffset>
            </wp:positionV>
            <wp:extent cx="4714875" cy="9601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1487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ind w:left="300" w:hanging="292"/>
        <w:spacing w:after="0" w:line="205" w:lineRule="auto"/>
        <w:tabs>
          <w:tab w:leader="none" w:pos="300" w:val="left"/>
        </w:tabs>
        <w:numPr>
          <w:ilvl w:val="0"/>
          <w:numId w:val="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earnings per share and free cash flow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w:t>
      </w:r>
      <w:r>
        <w:rPr>
          <w:rFonts w:ascii="Arial" w:cs="Arial" w:eastAsia="Arial" w:hAnsi="Arial"/>
          <w:sz w:val="22"/>
          <w:szCs w:val="22"/>
          <w:color w:val="auto"/>
        </w:rPr>
        <w:t>-</w:t>
      </w:r>
      <w:r>
        <w:rPr>
          <w:rFonts w:ascii="Arial" w:cs="Arial" w:eastAsia="Arial" w:hAnsi="Arial"/>
          <w:sz w:val="22"/>
          <w:szCs w:val="22"/>
          <w:b w:val="1"/>
          <w:bCs w:val="1"/>
          <w:color w:val="auto"/>
        </w:rPr>
        <w:t>Term Incentive (“LTI”) Design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design of our long-term incentive award program, shown below, reflects a strong performance-based orientation.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132080</wp:posOffset>
            </wp:positionV>
            <wp:extent cx="5572125" cy="8572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572125"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Share Metrics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Since 2022, performance share grants have been based on the three metrics described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88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METRIC</w:t>
            </w:r>
          </w:p>
        </w:tc>
        <w:tc>
          <w:tcPr>
            <w:tcW w:w="1460" w:type="dxa"/>
            <w:vAlign w:val="bottom"/>
            <w:shd w:val="clear" w:color="auto" w:fill="FFE933"/>
          </w:tcPr>
          <w:p>
            <w:pPr>
              <w:ind w:left="120"/>
              <w:spacing w:after="0"/>
              <w:rPr>
                <w:sz w:val="20"/>
                <w:szCs w:val="20"/>
                <w:color w:val="auto"/>
              </w:rPr>
            </w:pPr>
            <w:r>
              <w:rPr>
                <w:rFonts w:ascii="Arial" w:cs="Arial" w:eastAsia="Arial" w:hAnsi="Arial"/>
                <w:sz w:val="16"/>
                <w:szCs w:val="16"/>
                <w:b w:val="1"/>
                <w:bCs w:val="1"/>
                <w:color w:val="auto"/>
              </w:rPr>
              <w:t>2025 Weighting</w:t>
            </w:r>
          </w:p>
        </w:tc>
        <w:tc>
          <w:tcPr>
            <w:tcW w:w="6900" w:type="dxa"/>
            <w:vAlign w:val="bottom"/>
            <w:shd w:val="clear" w:color="auto" w:fill="FFE933"/>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Relative Sales Growth</w:t>
            </w:r>
          </w:p>
        </w:tc>
        <w:tc>
          <w:tcPr>
            <w:tcW w:w="14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34%</w:t>
            </w:r>
          </w:p>
        </w:tc>
        <w:tc>
          <w:tcPr>
            <w:tcW w:w="6900" w:type="dxa"/>
            <w:vAlign w:val="bottom"/>
          </w:tcPr>
          <w:p>
            <w:pPr>
              <w:ind w:left="160"/>
              <w:spacing w:after="0"/>
              <w:rPr>
                <w:sz w:val="20"/>
                <w:szCs w:val="20"/>
                <w:color w:val="auto"/>
              </w:rPr>
            </w:pPr>
            <w:r>
              <w:rPr>
                <w:rFonts w:ascii="Arial" w:cs="Arial" w:eastAsia="Arial" w:hAnsi="Arial"/>
                <w:sz w:val="16"/>
                <w:szCs w:val="16"/>
                <w:color w:val="auto"/>
              </w:rPr>
              <w:t>Drives growth initiatives, including organic growth, new product development, innovation, and</w:t>
            </w:r>
          </w:p>
        </w:tc>
        <w:tc>
          <w:tcPr>
            <w:tcW w:w="0" w:type="dxa"/>
            <w:vAlign w:val="bottom"/>
          </w:tcPr>
          <w:p>
            <w:pPr>
              <w:spacing w:after="0"/>
              <w:rPr>
                <w:sz w:val="1"/>
                <w:szCs w:val="1"/>
                <w:color w:val="auto"/>
              </w:rPr>
            </w:pPr>
          </w:p>
        </w:tc>
      </w:tr>
      <w:tr>
        <w:trPr>
          <w:trHeight w:val="128"/>
        </w:trPr>
        <w:tc>
          <w:tcPr>
            <w:tcW w:w="288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6900" w:type="dxa"/>
            <w:vAlign w:val="bottom"/>
            <w:vMerge w:val="restart"/>
          </w:tcPr>
          <w:p>
            <w:pPr>
              <w:ind w:left="160"/>
              <w:spacing w:after="0"/>
              <w:rPr>
                <w:sz w:val="20"/>
                <w:szCs w:val="20"/>
                <w:color w:val="auto"/>
              </w:rPr>
            </w:pPr>
            <w:r>
              <w:rPr>
                <w:rFonts w:ascii="Arial" w:cs="Arial" w:eastAsia="Arial" w:hAnsi="Arial"/>
                <w:sz w:val="16"/>
                <w:szCs w:val="16"/>
                <w:color w:val="auto"/>
              </w:rPr>
              <w:t>acquisition performance.</w:t>
            </w:r>
          </w:p>
        </w:tc>
        <w:tc>
          <w:tcPr>
            <w:tcW w:w="0" w:type="dxa"/>
            <w:vAlign w:val="bottom"/>
          </w:tcPr>
          <w:p>
            <w:pPr>
              <w:spacing w:after="0"/>
              <w:rPr>
                <w:sz w:val="1"/>
                <w:szCs w:val="1"/>
                <w:color w:val="auto"/>
              </w:rPr>
            </w:pPr>
          </w:p>
        </w:tc>
      </w:tr>
      <w:tr>
        <w:trPr>
          <w:trHeight w:val="86"/>
        </w:trPr>
        <w:tc>
          <w:tcPr>
            <w:tcW w:w="2880" w:type="dxa"/>
            <w:vAlign w:val="bottom"/>
          </w:tcPr>
          <w:p>
            <w:pPr>
              <w:spacing w:after="0"/>
              <w:rPr>
                <w:sz w:val="7"/>
                <w:szCs w:val="7"/>
                <w:color w:val="auto"/>
              </w:rPr>
            </w:pPr>
          </w:p>
        </w:tc>
        <w:tc>
          <w:tcPr>
            <w:tcW w:w="1460" w:type="dxa"/>
            <w:vAlign w:val="bottom"/>
          </w:tcPr>
          <w:p>
            <w:pPr>
              <w:spacing w:after="0"/>
              <w:rPr>
                <w:sz w:val="7"/>
                <w:szCs w:val="7"/>
                <w:color w:val="auto"/>
              </w:rPr>
            </w:pPr>
          </w:p>
        </w:tc>
        <w:tc>
          <w:tcPr>
            <w:tcW w:w="6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880" w:type="dxa"/>
            <w:vAlign w:val="bottom"/>
            <w:tcBorders>
              <w:bottom w:val="single" w:sz="8" w:color="BCBEC0"/>
            </w:tcBorders>
          </w:tcPr>
          <w:p>
            <w:pPr>
              <w:spacing w:after="0"/>
              <w:rPr>
                <w:sz w:val="3"/>
                <w:szCs w:val="3"/>
                <w:color w:val="auto"/>
              </w:rPr>
            </w:pPr>
          </w:p>
        </w:tc>
        <w:tc>
          <w:tcPr>
            <w:tcW w:w="1460" w:type="dxa"/>
            <w:vAlign w:val="bottom"/>
            <w:tcBorders>
              <w:bottom w:val="single" w:sz="8" w:color="BCBEC0"/>
            </w:tcBorders>
          </w:tcPr>
          <w:p>
            <w:pPr>
              <w:spacing w:after="0"/>
              <w:rPr>
                <w:sz w:val="3"/>
                <w:szCs w:val="3"/>
                <w:color w:val="auto"/>
              </w:rPr>
            </w:pPr>
          </w:p>
        </w:tc>
        <w:tc>
          <w:tcPr>
            <w:tcW w:w="69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88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Adjusted Operating Profit Margin</w:t>
            </w:r>
            <w:r>
              <w:rPr>
                <w:rFonts w:ascii="Arial" w:cs="Arial" w:eastAsia="Arial" w:hAnsi="Arial"/>
                <w:sz w:val="26"/>
                <w:szCs w:val="26"/>
                <w:b w:val="1"/>
                <w:bCs w:val="1"/>
                <w:color w:val="auto"/>
                <w:vertAlign w:val="superscript"/>
              </w:rPr>
              <w:t>(1)</w:t>
            </w:r>
          </w:p>
        </w:tc>
        <w:tc>
          <w:tcPr>
            <w:tcW w:w="1460" w:type="dxa"/>
            <w:vAlign w:val="bottom"/>
            <w:vMerge w:val="restart"/>
          </w:tcPr>
          <w:p>
            <w:pPr>
              <w:ind w:left="120"/>
              <w:spacing w:after="0"/>
              <w:rPr>
                <w:sz w:val="20"/>
                <w:szCs w:val="20"/>
                <w:color w:val="auto"/>
              </w:rPr>
            </w:pPr>
            <w:r>
              <w:rPr>
                <w:rFonts w:ascii="Arial" w:cs="Arial" w:eastAsia="Arial" w:hAnsi="Arial"/>
                <w:sz w:val="16"/>
                <w:szCs w:val="16"/>
                <w:b w:val="1"/>
                <w:bCs w:val="1"/>
                <w:color w:val="auto"/>
              </w:rPr>
              <w:t>33%</w:t>
            </w:r>
          </w:p>
        </w:tc>
        <w:tc>
          <w:tcPr>
            <w:tcW w:w="6900" w:type="dxa"/>
            <w:vAlign w:val="bottom"/>
          </w:tcPr>
          <w:p>
            <w:pPr>
              <w:ind w:left="160"/>
              <w:spacing w:after="0"/>
              <w:rPr>
                <w:sz w:val="20"/>
                <w:szCs w:val="20"/>
                <w:color w:val="auto"/>
              </w:rPr>
            </w:pPr>
            <w:r>
              <w:rPr>
                <w:rFonts w:ascii="Arial" w:cs="Arial" w:eastAsia="Arial" w:hAnsi="Arial"/>
                <w:sz w:val="16"/>
                <w:szCs w:val="16"/>
                <w:color w:val="auto"/>
              </w:rPr>
              <w:t>Focuses NEOs on margin expansion and productivity while they execute operational</w:t>
            </w:r>
          </w:p>
        </w:tc>
        <w:tc>
          <w:tcPr>
            <w:tcW w:w="0" w:type="dxa"/>
            <w:vAlign w:val="bottom"/>
          </w:tcPr>
          <w:p>
            <w:pPr>
              <w:spacing w:after="0"/>
              <w:rPr>
                <w:sz w:val="1"/>
                <w:szCs w:val="1"/>
                <w:color w:val="auto"/>
              </w:rPr>
            </w:pPr>
          </w:p>
        </w:tc>
      </w:tr>
      <w:tr>
        <w:trPr>
          <w:trHeight w:val="163"/>
        </w:trPr>
        <w:tc>
          <w:tcPr>
            <w:tcW w:w="288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6900" w:type="dxa"/>
            <w:vAlign w:val="bottom"/>
            <w:vMerge w:val="restart"/>
          </w:tcPr>
          <w:p>
            <w:pPr>
              <w:ind w:left="160"/>
              <w:spacing w:after="0"/>
              <w:rPr>
                <w:sz w:val="20"/>
                <w:szCs w:val="20"/>
                <w:color w:val="auto"/>
              </w:rPr>
            </w:pPr>
            <w:r>
              <w:rPr>
                <w:rFonts w:ascii="Arial" w:cs="Arial" w:eastAsia="Arial" w:hAnsi="Arial"/>
                <w:sz w:val="16"/>
                <w:szCs w:val="16"/>
                <w:color w:val="auto"/>
              </w:rPr>
              <w:t>objectives, including footprint optimization and product rationalization.</w:t>
            </w:r>
          </w:p>
        </w:tc>
        <w:tc>
          <w:tcPr>
            <w:tcW w:w="0" w:type="dxa"/>
            <w:vAlign w:val="bottom"/>
          </w:tcPr>
          <w:p>
            <w:pPr>
              <w:spacing w:after="0"/>
              <w:rPr>
                <w:sz w:val="1"/>
                <w:szCs w:val="1"/>
                <w:color w:val="auto"/>
              </w:rPr>
            </w:pPr>
          </w:p>
        </w:tc>
      </w:tr>
      <w:tr>
        <w:trPr>
          <w:trHeight w:val="52"/>
        </w:trPr>
        <w:tc>
          <w:tcPr>
            <w:tcW w:w="28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2880" w:type="dxa"/>
            <w:vAlign w:val="bottom"/>
            <w:tcBorders>
              <w:bottom w:val="single" w:sz="8" w:color="BCBEC0"/>
            </w:tcBorders>
          </w:tcPr>
          <w:p>
            <w:pPr>
              <w:spacing w:after="0"/>
              <w:rPr>
                <w:sz w:val="3"/>
                <w:szCs w:val="3"/>
                <w:color w:val="auto"/>
              </w:rPr>
            </w:pPr>
          </w:p>
        </w:tc>
        <w:tc>
          <w:tcPr>
            <w:tcW w:w="1460" w:type="dxa"/>
            <w:vAlign w:val="bottom"/>
            <w:tcBorders>
              <w:bottom w:val="single" w:sz="8" w:color="BCBEC0"/>
            </w:tcBorders>
          </w:tcPr>
          <w:p>
            <w:pPr>
              <w:spacing w:after="0"/>
              <w:rPr>
                <w:sz w:val="3"/>
                <w:szCs w:val="3"/>
                <w:color w:val="auto"/>
              </w:rPr>
            </w:pPr>
          </w:p>
        </w:tc>
        <w:tc>
          <w:tcPr>
            <w:tcW w:w="690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2880" w:type="dxa"/>
            <w:vAlign w:val="bottom"/>
          </w:tcPr>
          <w:p>
            <w:pPr>
              <w:ind w:left="60"/>
              <w:spacing w:after="0"/>
              <w:rPr>
                <w:sz w:val="20"/>
                <w:szCs w:val="20"/>
                <w:color w:val="auto"/>
              </w:rPr>
            </w:pPr>
            <w:r>
              <w:rPr>
                <w:rFonts w:ascii="Arial" w:cs="Arial" w:eastAsia="Arial" w:hAnsi="Arial"/>
                <w:sz w:val="16"/>
                <w:szCs w:val="16"/>
                <w:b w:val="1"/>
                <w:bCs w:val="1"/>
                <w:color w:val="auto"/>
              </w:rPr>
              <w:t>Relative TSR</w:t>
            </w:r>
          </w:p>
        </w:tc>
        <w:tc>
          <w:tcPr>
            <w:tcW w:w="1460" w:type="dxa"/>
            <w:vAlign w:val="bottom"/>
          </w:tcPr>
          <w:p>
            <w:pPr>
              <w:ind w:left="120"/>
              <w:spacing w:after="0"/>
              <w:rPr>
                <w:sz w:val="20"/>
                <w:szCs w:val="20"/>
                <w:color w:val="auto"/>
              </w:rPr>
            </w:pPr>
            <w:r>
              <w:rPr>
                <w:rFonts w:ascii="Arial" w:cs="Arial" w:eastAsia="Arial" w:hAnsi="Arial"/>
                <w:sz w:val="16"/>
                <w:szCs w:val="16"/>
                <w:b w:val="1"/>
                <w:bCs w:val="1"/>
                <w:color w:val="auto"/>
              </w:rPr>
              <w:t>33%</w:t>
            </w:r>
          </w:p>
        </w:tc>
        <w:tc>
          <w:tcPr>
            <w:tcW w:w="6900" w:type="dxa"/>
            <w:vAlign w:val="bottom"/>
          </w:tcPr>
          <w:p>
            <w:pPr>
              <w:ind w:left="160"/>
              <w:spacing w:after="0"/>
              <w:rPr>
                <w:sz w:val="20"/>
                <w:szCs w:val="20"/>
                <w:color w:val="auto"/>
              </w:rPr>
            </w:pPr>
            <w:r>
              <w:rPr>
                <w:rFonts w:ascii="Arial" w:cs="Arial" w:eastAsia="Arial" w:hAnsi="Arial"/>
                <w:sz w:val="16"/>
                <w:szCs w:val="16"/>
                <w:color w:val="auto"/>
              </w:rPr>
              <w:t>Ensures pay is aligned with shareholder interests.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5" w:lineRule="exact"/>
        <w:rPr>
          <w:sz w:val="20"/>
          <w:szCs w:val="20"/>
          <w:color w:val="auto"/>
        </w:rPr>
      </w:pPr>
    </w:p>
    <w:p>
      <w:pPr>
        <w:jc w:val="both"/>
        <w:ind w:left="300" w:hanging="292"/>
        <w:spacing w:after="0"/>
        <w:tabs>
          <w:tab w:leader="none" w:pos="300" w:val="left"/>
        </w:tabs>
        <w:numPr>
          <w:ilvl w:val="0"/>
          <w:numId w:val="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operating profit margin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Specific details on these metrics may be found on pages 50-51 in the Compensation Discussion &amp; Analysis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860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Our compensation program is designed around pay for performance and informed by our shareholder engagement.</w:t>
      </w:r>
    </w:p>
    <w:p>
      <w:pPr>
        <w:spacing w:after="0" w:line="37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Engagement</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Company regularly engages with shareholders over the course of the year on topics such as financial performance, compensation, corporate governance, human capital management and sustainability. We are committed to engaging with our shareholders and to reviewing and applying the feedback we receive. Our robust program of shareholder outreach focuses on shareholders’ perspectives on our compensation programs and our pay for performance philosophy.</w:t>
      </w:r>
    </w:p>
    <w:p>
      <w:pPr>
        <w:spacing w:after="0" w:line="3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the fourth quarter of 2025, members of our senior management team engaged in a targeted outreach with Hubbell’s top twenty-five shareholders representing almost 60% of Hubbell’s outstanding common stock. These conversations, which were led by a cross-functional group of Hubbell’s senior leaders, helped inform the Compensation Committee’s review of the executive compensation programs and confirmed shareholders’ overall support of our compensation philosophy, design, and programs and corporate governance practices.</w:t>
      </w:r>
    </w:p>
    <w:p>
      <w:pPr>
        <w:spacing w:after="0" w:line="151"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color w:val="auto"/>
        </w:rPr>
        <w:t>In 2025, consistent with our commitment to implementing best corporate governance practices and in response to shareholder feedback, the Company changed its voting standard in uncontested director elections from a plurality vote standard to a majority vote standard. This change was approved by the Company’s shareholders at the 2025 Annual Shareholders Meeting on May 6, 2025. The Company revised its Certificate of Incorporation, Bylaws, and Corporate Governance Guidelines to reflect such changes as well.</w:t>
      </w:r>
    </w:p>
    <w:p>
      <w:pPr>
        <w:sectPr>
          <w:pgSz w:w="11900" w:h="16838" w:orient="portrait"/>
          <w:cols w:equalWidth="0" w:num="1">
            <w:col w:w="11240"/>
          </w:cols>
          <w:pgMar w:left="320" w:top="238" w:right="3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Proposal 3:</w:t>
      </w:r>
    </w:p>
    <w:p>
      <w:pPr>
        <w:spacing w:after="0" w:line="44" w:lineRule="exact"/>
        <w:rPr>
          <w:sz w:val="20"/>
          <w:szCs w:val="20"/>
          <w:color w:val="auto"/>
        </w:rPr>
      </w:pPr>
    </w:p>
    <w:p>
      <w:pPr>
        <w:ind w:right="440"/>
        <w:spacing w:after="0" w:line="265" w:lineRule="auto"/>
        <w:rPr>
          <w:sz w:val="20"/>
          <w:szCs w:val="20"/>
          <w:color w:val="auto"/>
        </w:rPr>
      </w:pPr>
      <w:r>
        <w:rPr>
          <w:rFonts w:ascii="Arial" w:cs="Arial" w:eastAsia="Arial" w:hAnsi="Arial"/>
          <w:sz w:val="32"/>
          <w:szCs w:val="32"/>
          <w:color w:val="auto"/>
        </w:rPr>
        <w:t>Ratify the selection of PricewaterhouseCoopers LLP as our independent registered public accounting firm for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3860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360"/>
        <w:spacing w:after="0" w:line="286" w:lineRule="auto"/>
        <w:rPr>
          <w:sz w:val="20"/>
          <w:szCs w:val="20"/>
          <w:color w:val="auto"/>
        </w:rPr>
      </w:pPr>
      <w:r>
        <w:rPr>
          <w:rFonts w:ascii="Arial" w:cs="Arial" w:eastAsia="Arial" w:hAnsi="Arial"/>
          <w:sz w:val="16"/>
          <w:szCs w:val="16"/>
          <w:color w:val="auto"/>
        </w:rPr>
        <w:t xml:space="preserve">See pages </w:t>
      </w:r>
      <w:r>
        <w:rPr>
          <w:rFonts w:ascii="Arial" w:cs="Arial" w:eastAsia="Arial" w:hAnsi="Arial"/>
          <w:sz w:val="16"/>
          <w:szCs w:val="16"/>
          <w:b w:val="1"/>
          <w:bCs w:val="1"/>
          <w:color w:val="auto"/>
        </w:rPr>
        <w:t>75-77</w:t>
      </w:r>
      <w:r>
        <w:rPr>
          <w:rFonts w:ascii="Arial" w:cs="Arial" w:eastAsia="Arial" w:hAnsi="Arial"/>
          <w:sz w:val="16"/>
          <w:szCs w:val="16"/>
          <w:color w:val="auto"/>
        </w:rPr>
        <w:t xml:space="preserve"> for further information.</w:t>
      </w:r>
    </w:p>
    <w:p>
      <w:pPr>
        <w:spacing w:after="0" w:line="213" w:lineRule="exact"/>
        <w:rPr>
          <w:sz w:val="20"/>
          <w:szCs w:val="20"/>
          <w:color w:val="auto"/>
        </w:rPr>
      </w:pPr>
    </w:p>
    <w:p>
      <w:pPr>
        <w:sectPr>
          <w:pgSz w:w="11900" w:h="16838" w:orient="portrait"/>
          <w:cols w:equalWidth="0" w:num="2">
            <w:col w:w="8920" w:space="720"/>
            <w:col w:w="1600"/>
          </w:cols>
          <w:pgMar w:left="320" w:top="238" w:right="339" w:bottom="1440" w:gutter="0" w:footer="0" w:header="0"/>
          <w:type w:val="continuous"/>
        </w:sectPr>
      </w:pPr>
    </w:p>
    <w:p>
      <w:pPr>
        <w:spacing w:after="0" w:line="212"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The Board recommends a vote for this proposal.</w:t>
      </w: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color w:val="FFF51F"/>
        </w:rPr>
        <w:t>I</w:t>
      </w:r>
      <w:r>
        <w:rPr>
          <w:rFonts w:ascii="Arial" w:cs="Arial" w:eastAsia="Arial" w:hAnsi="Arial"/>
          <w:sz w:val="16"/>
          <w:szCs w:val="16"/>
          <w:color w:val="auto"/>
        </w:rPr>
        <w:t xml:space="preserve"> </w:t>
      </w:r>
      <w:r>
        <w:rPr>
          <w:rFonts w:ascii="Arial" w:cs="Arial" w:eastAsia="Arial" w:hAnsi="Arial"/>
          <w:sz w:val="16"/>
          <w:szCs w:val="16"/>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8832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3285"/>
                    </a:xfrm>
                    <a:prstGeom prst="rect">
                      <a:avLst/>
                    </a:prstGeom>
                    <a:noFill/>
                  </pic:spPr>
                </pic:pic>
              </a:graphicData>
            </a:graphic>
          </wp:anchor>
        </w:drawing>
      </w:r>
    </w:p>
    <w:p>
      <w:pPr>
        <w:spacing w:after="0" w:line="311"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auto"/>
        </w:rPr>
        <w:t>Proposal 1</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58"/>
          <w:szCs w:val="58"/>
          <w:color w:val="auto"/>
        </w:rPr>
        <w:t>Election of Directors</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color w:val="auto"/>
        </w:rPr>
        <w:t>The Board has fixed the number of Directors to be elected by the shareholders at the 2026 Annual Meeting at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860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Each Director nominee has the appropriate qualifications and experience for membership on the Board of Directors.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Qualifications and Experience</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year, the Nominating and Corporate Governance Committee (“NCGC”) regularly evaluates the characteristics, skills, and experience that will enable the Board and its individual members to properly oversee the interests of Hubbell and its shareholders.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NCGC recommends candidates for Board membership using the selection criteria outlined in Hubbell’s Corporate Governance Guidelines (the “Guidelines”) and other factors it deems necessary. Candidates are evaluated on the basis of their individual qualifications and experience and in the context of the Board as a whole. We strive to assemble a Board with diverse experiences and expertise that can best facilitate the success of the business and represent shareholder interests through the exercise of sound judgment.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Below is a list of certain of the qualifications and experience the NCGC seeks in recommending candidates for nomination to the Board:</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Marketing, finance, operations, manufacturing, or other relevant public company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Financial literacy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Professional background and leadership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Experience as a current or former public company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Experience in Hubbell’s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Public company board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Academic expertise in areas of Hubbell’s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Cybersecurity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determining whether to recommend a current Director for re-election, the NCGC also will consider past attendance at meetings, service on other boards, and participation in and contribution to Board activities.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Each Director nominee has the appropriate qualifications and experience for membership on the Board of Directors. The Board is made up of individuals with strong and unique backgrounds, which gives the Board a wide range of competencies and experience that enable it to serve the interests of Hubbell and its shareholders.</w:t>
      </w:r>
    </w:p>
    <w:p>
      <w:pPr>
        <w:spacing w:after="0" w:line="14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14</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Commitment to Board Integrity, Experience, and Independence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to confirming that our Director nominees have the requisite skills and qualifications, the NCGC focuses on ensuring that the nominees demonstrate the right leadership traits, personality, work ethic, independence, and diversity of skills and experience to align with our performance culture and our long-term strategic vision.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Specifically, service on Hubbell’s Board requires:</w:t>
      </w:r>
    </w:p>
    <w:p>
      <w:pPr>
        <w:spacing w:after="0" w:line="1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highest standards of personal and professional 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Ability to contribute to the expertise and culture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Ability to devote sufficient time to performing Board and Committee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Independence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Willingness to constructively challenge management through active participation in 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Relevant subject matter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3860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86080"/>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-107315</wp:posOffset>
            </wp:positionV>
            <wp:extent cx="6858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The Board has nominated eleven candidates for election as Directors.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Nomination and Election Process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Hubbell’s Directors are elected at each Annual Meeting of Shareholders and hold office for one-year terms or until their successors are duly elected and qualified. The Board of Directors nominated eleven candidates for election as Directors. If any of the nominees becomes unavailable to serve, the shares represented by the proxies will be voted for any substitute nominated by the Board of Directors unless the number of Directors constituting the full Board is reduced.</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searching for qualified Director candidates for election to the Board and to fill vacancies on the Board, the Board may solicit current Directors for the names of potentially qualified individuals, consult with outside advisors, retain a Director search firm, or consider nominees suggested by shareholders (see “Shareholder Nominations” below). All Director candidates, including those recommended by shareholders, are reviewed and evaluated by the NCGC in relation to the specific qualifications and experience sought by the Board for membership and the Board’s needs at that time. Any interested candidate whose qualifications and experience align with these criteria will be interviewed by members of the NCGC, other Board members, and executive management to further assess the candidate’s qualifications and experience and to determine if the candidate would be an appropriate fit. Candidates may be asked to submit additional information to support their potential nomination, including references. If the Board approves of a recommended candidate, the candidate will be nominated for election by Hubbell’s shareholders or appointed by the Board to fill a vacancy, as applicable.</w:t>
      </w:r>
    </w:p>
    <w:p>
      <w:pPr>
        <w:spacing w:after="0" w:line="170" w:lineRule="exact"/>
        <w:rPr>
          <w:sz w:val="20"/>
          <w:szCs w:val="20"/>
          <w:color w:val="auto"/>
        </w:rPr>
      </w:pPr>
    </w:p>
    <w:p>
      <w:pPr>
        <w:jc w:val="both"/>
        <w:spacing w:after="0" w:line="256" w:lineRule="auto"/>
        <w:rPr>
          <w:sz w:val="20"/>
          <w:szCs w:val="20"/>
          <w:color w:val="auto"/>
        </w:rPr>
      </w:pPr>
      <w:r>
        <w:rPr>
          <w:sz w:val="1"/>
          <w:szCs w:val="1"/>
          <w:color w:val="auto"/>
        </w:rPr>
        <w:drawing>
          <wp:inline distT="0" distB="0" distL="0" distR="0">
            <wp:extent cx="171450" cy="17145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6"/>
          <w:szCs w:val="16"/>
          <w:color w:val="auto"/>
        </w:rPr>
        <w:t xml:space="preserve"> Hubbell’s Board remains committed to refreshment. Effective August 29, 2025, the Board, at the recommendation of the NCGC, appointed Edward H. Baine to the Board and to the Board’s Compensation and Finance Committees. The Board engaged JWC Consulting, an independent director search firm, to assist in the search for this new Director.</w:t>
      </w:r>
    </w:p>
    <w:p>
      <w:pPr>
        <w:spacing w:after="0" w:line="1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2025, consistent with our commitment to implementing best corporate governance practices and in response to shareholder feedback, the Company changed its voting standard in uncontested director elections from a plurality vote standard to a majority vote standard.</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change was approved by the Company’s shareholders at the 2025 Annual Shareholders Meeting on May 6, 2025. The Company revised its Certificate of Incorporation, Bylaws, and Corporate Governance Guidelines to reflect such changes as well.</w:t>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Nominations</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Any shareholder who wishes to recommend a candidate to the NCGC for consideration as a Director nominee should do so in writing, providing the information described in Article I, Section 11(A)(2) of our By-Laws, to the Secretary of Hubbell. In addition, the proxy access provisions in our By-Laws provide that a shareholder, or a group of up to 20 shareholders, owning at least 3% of Hubbell’s outstanding common stock continuously for at least three years, may nominate director nominees constituting up to the greater of two (2) or twenty percent (20%) of the number of Directors serving on the Board for inclusion in our annual meeting proxy materials. Nominating shareholders and nominees must satisfy the requirements set forth in our By-Laws. See “Shareholder Proposals and Nominations for Director” on page 81 for additional details.</w:t>
      </w:r>
    </w:p>
    <w:p>
      <w:pPr>
        <w:spacing w:after="0" w:line="155" w:lineRule="exact"/>
        <w:rPr>
          <w:sz w:val="20"/>
          <w:szCs w:val="20"/>
          <w:color w:val="auto"/>
        </w:rPr>
      </w:pPr>
    </w:p>
    <w:p>
      <w:pPr>
        <w:jc w:val="right"/>
        <w:spacing w:after="0"/>
        <w:tabs>
          <w:tab w:leader="none" w:pos="300" w:val="left"/>
        </w:tabs>
        <w:rPr>
          <w:sz w:val="20"/>
          <w:szCs w:val="20"/>
          <w:color w:val="auto"/>
        </w:rPr>
      </w:pPr>
      <w:r>
        <w:rPr>
          <w:rFonts w:ascii="Arial" w:cs="Arial" w:eastAsia="Arial" w:hAnsi="Arial"/>
          <w:sz w:val="16"/>
          <w:szCs w:val="16"/>
          <w:color w:val="auto"/>
        </w:rPr>
        <w:t>2026 PROXY STATEMENT</w:t>
      </w:r>
      <w:r>
        <w:rPr>
          <w:rFonts w:ascii="Arial" w:cs="Arial" w:eastAsia="Arial" w:hAnsi="Arial"/>
          <w:sz w:val="16"/>
          <w:szCs w:val="16"/>
          <w:color w:val="FFF51F"/>
        </w:rPr>
        <w:tab/>
        <w:t xml:space="preserve">I </w:t>
      </w:r>
      <w:r>
        <w:rPr>
          <w:rFonts w:ascii="Arial" w:cs="Arial" w:eastAsia="Arial" w:hAnsi="Arial"/>
          <w:sz w:val="16"/>
          <w:szCs w:val="16"/>
          <w:b w:val="1"/>
          <w:bCs w:val="1"/>
          <w:color w:val="00000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3860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9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All of the Director nominees are current Directors of the Company.</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Nominees</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nominees are proposed by the Board to stand for election at the 2026 Annual Meeting of Shareholders and to serve as Directors until the 2027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Our Director nominees offer a diverse range of skills and experience in areas that are relevant to our business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132320" cy="7461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746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Skills and Experience</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Borders>
              <w:top w:val="single" w:sz="8" w:color="BCBEC0"/>
            </w:tcBorders>
          </w:tcPr>
          <w:p>
            <w:pPr>
              <w:ind w:left="660"/>
              <w:spacing w:after="0"/>
              <w:rPr>
                <w:sz w:val="20"/>
                <w:szCs w:val="20"/>
                <w:color w:val="auto"/>
              </w:rPr>
            </w:pPr>
            <w:r>
              <w:rPr>
                <w:rFonts w:ascii="Arial" w:cs="Arial" w:eastAsia="Arial" w:hAnsi="Arial"/>
                <w:sz w:val="16"/>
                <w:szCs w:val="16"/>
                <w:b w:val="1"/>
                <w:bCs w:val="1"/>
                <w:color w:val="auto"/>
              </w:rPr>
              <w:t>PUBLIC COMPANY BOARD:</w:t>
            </w:r>
          </w:p>
        </w:tc>
        <w:tc>
          <w:tcPr>
            <w:tcW w:w="680" w:type="dxa"/>
            <w:vAlign w:val="bottom"/>
            <w:tcBorders>
              <w:top w:val="single" w:sz="8" w:color="BCBEC0"/>
            </w:tcBorders>
            <w:shd w:val="clear" w:color="auto" w:fill="F6F6F6"/>
          </w:tcPr>
          <w:p>
            <w:pPr>
              <w:spacing w:after="0"/>
              <w:rPr>
                <w:sz w:val="18"/>
                <w:szCs w:val="18"/>
                <w:color w:val="auto"/>
              </w:rPr>
            </w:pPr>
          </w:p>
        </w:tc>
        <w:tc>
          <w:tcPr>
            <w:tcW w:w="660" w:type="dxa"/>
            <w:vAlign w:val="bottom"/>
            <w:tcBorders>
              <w:top w:val="single" w:sz="8" w:color="BCBEC0"/>
            </w:tcBorders>
          </w:tcPr>
          <w:p>
            <w:pPr>
              <w:spacing w:after="0"/>
              <w:rPr>
                <w:sz w:val="18"/>
                <w:szCs w:val="18"/>
                <w:color w:val="auto"/>
              </w:rPr>
            </w:pPr>
          </w:p>
        </w:tc>
        <w:tc>
          <w:tcPr>
            <w:tcW w:w="660" w:type="dxa"/>
            <w:vAlign w:val="bottom"/>
            <w:tcBorders>
              <w:top w:val="single" w:sz="8" w:color="BCBEC0"/>
            </w:tcBorders>
            <w:shd w:val="clear" w:color="auto" w:fill="F6F6F6"/>
          </w:tcPr>
          <w:p>
            <w:pPr>
              <w:spacing w:after="0"/>
              <w:rPr>
                <w:sz w:val="18"/>
                <w:szCs w:val="18"/>
                <w:color w:val="auto"/>
              </w:rPr>
            </w:pPr>
          </w:p>
        </w:tc>
        <w:tc>
          <w:tcPr>
            <w:tcW w:w="660" w:type="dxa"/>
            <w:vAlign w:val="bottom"/>
            <w:tcBorders>
              <w:top w:val="single" w:sz="8" w:color="BCBEC0"/>
            </w:tcBorders>
          </w:tcPr>
          <w:p>
            <w:pPr>
              <w:spacing w:after="0"/>
              <w:rPr>
                <w:sz w:val="18"/>
                <w:szCs w:val="18"/>
                <w:color w:val="auto"/>
              </w:rPr>
            </w:pPr>
          </w:p>
        </w:tc>
        <w:tc>
          <w:tcPr>
            <w:tcW w:w="660" w:type="dxa"/>
            <w:vAlign w:val="bottom"/>
            <w:tcBorders>
              <w:top w:val="single" w:sz="8" w:color="BCBEC0"/>
            </w:tcBorders>
            <w:shd w:val="clear" w:color="auto" w:fill="F6F6F6"/>
          </w:tcPr>
          <w:p>
            <w:pPr>
              <w:spacing w:after="0"/>
              <w:rPr>
                <w:sz w:val="18"/>
                <w:szCs w:val="18"/>
                <w:color w:val="auto"/>
              </w:rPr>
            </w:pPr>
          </w:p>
        </w:tc>
        <w:tc>
          <w:tcPr>
            <w:tcW w:w="660" w:type="dxa"/>
            <w:vAlign w:val="bottom"/>
            <w:tcBorders>
              <w:top w:val="single" w:sz="8" w:color="BCBEC0"/>
            </w:tcBorders>
          </w:tcPr>
          <w:p>
            <w:pPr>
              <w:spacing w:after="0"/>
              <w:rPr>
                <w:sz w:val="18"/>
                <w:szCs w:val="18"/>
                <w:color w:val="auto"/>
              </w:rPr>
            </w:pPr>
          </w:p>
        </w:tc>
        <w:tc>
          <w:tcPr>
            <w:tcW w:w="660" w:type="dxa"/>
            <w:vAlign w:val="bottom"/>
            <w:tcBorders>
              <w:top w:val="single" w:sz="8" w:color="BCBEC0"/>
            </w:tcBorders>
            <w:shd w:val="clear" w:color="auto" w:fill="F6F6F6"/>
          </w:tcPr>
          <w:p>
            <w:pPr>
              <w:spacing w:after="0"/>
              <w:rPr>
                <w:sz w:val="18"/>
                <w:szCs w:val="18"/>
                <w:color w:val="auto"/>
              </w:rPr>
            </w:pPr>
          </w:p>
        </w:tc>
        <w:tc>
          <w:tcPr>
            <w:tcW w:w="660" w:type="dxa"/>
            <w:vAlign w:val="bottom"/>
            <w:tcBorders>
              <w:top w:val="single" w:sz="8" w:color="BCBEC0"/>
            </w:tcBorders>
          </w:tcPr>
          <w:p>
            <w:pPr>
              <w:spacing w:after="0"/>
              <w:rPr>
                <w:sz w:val="18"/>
                <w:szCs w:val="18"/>
                <w:color w:val="auto"/>
              </w:rPr>
            </w:pPr>
          </w:p>
        </w:tc>
        <w:tc>
          <w:tcPr>
            <w:tcW w:w="660" w:type="dxa"/>
            <w:vAlign w:val="bottom"/>
            <w:tcBorders>
              <w:top w:val="single" w:sz="8" w:color="BCBEC0"/>
            </w:tcBorders>
            <w:shd w:val="clear" w:color="auto" w:fill="F6F6F6"/>
          </w:tcPr>
          <w:p>
            <w:pPr>
              <w:spacing w:after="0"/>
              <w:rPr>
                <w:sz w:val="18"/>
                <w:szCs w:val="18"/>
                <w:color w:val="auto"/>
              </w:rPr>
            </w:pPr>
          </w:p>
        </w:tc>
        <w:tc>
          <w:tcPr>
            <w:tcW w:w="660" w:type="dxa"/>
            <w:vAlign w:val="bottom"/>
            <w:tcBorders>
              <w:top w:val="single" w:sz="8" w:color="BCBEC0"/>
            </w:tcBorders>
          </w:tcPr>
          <w:p>
            <w:pPr>
              <w:spacing w:after="0"/>
              <w:rPr>
                <w:sz w:val="18"/>
                <w:szCs w:val="18"/>
                <w:color w:val="auto"/>
              </w:rPr>
            </w:pPr>
          </w:p>
        </w:tc>
        <w:tc>
          <w:tcPr>
            <w:tcW w:w="660" w:type="dxa"/>
            <w:vAlign w:val="bottom"/>
            <w:tcBorders>
              <w:top w:val="single" w:sz="8" w:color="BCBEC0"/>
            </w:tcBorders>
            <w:shd w:val="clear" w:color="auto" w:fill="F6F6F6"/>
          </w:tcPr>
          <w:p>
            <w:pPr>
              <w:spacing w:after="0"/>
              <w:rPr>
                <w:sz w:val="18"/>
                <w:szCs w:val="18"/>
                <w:color w:val="auto"/>
              </w:rPr>
            </w:pPr>
          </w:p>
        </w:tc>
        <w:tc>
          <w:tcPr>
            <w:tcW w:w="600" w:type="dxa"/>
            <w:vAlign w:val="bottom"/>
            <w:tcBorders>
              <w:top w:val="single" w:sz="8" w:color="BCBEC0"/>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Hold or have held other public</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82%</w:t>
            </w:r>
          </w:p>
        </w:tc>
        <w:tc>
          <w:tcPr>
            <w:tcW w:w="0" w:type="dxa"/>
            <w:vAlign w:val="bottom"/>
          </w:tcPr>
          <w:p>
            <w:pPr>
              <w:spacing w:after="0"/>
              <w:rPr>
                <w:sz w:val="1"/>
                <w:szCs w:val="1"/>
                <w:color w:val="auto"/>
              </w:rPr>
            </w:pPr>
          </w:p>
        </w:tc>
      </w:tr>
      <w:tr>
        <w:trPr>
          <w:trHeight w:val="224"/>
        </w:trPr>
        <w:tc>
          <w:tcPr>
            <w:tcW w:w="3360" w:type="dxa"/>
            <w:vAlign w:val="bottom"/>
            <w:tcBorders>
              <w:bottom w:val="single" w:sz="8" w:color="BCBEC0"/>
            </w:tcBorders>
          </w:tcPr>
          <w:p>
            <w:pPr>
              <w:ind w:left="660"/>
              <w:spacing w:after="0"/>
              <w:rPr>
                <w:sz w:val="20"/>
                <w:szCs w:val="20"/>
                <w:color w:val="auto"/>
              </w:rPr>
            </w:pPr>
            <w:r>
              <w:rPr>
                <w:rFonts w:ascii="Arial" w:cs="Arial" w:eastAsia="Arial" w:hAnsi="Arial"/>
                <w:sz w:val="16"/>
                <w:szCs w:val="16"/>
                <w:color w:val="auto"/>
              </w:rPr>
              <w:t>company board positions.</w:t>
            </w:r>
          </w:p>
        </w:tc>
        <w:tc>
          <w:tcPr>
            <w:tcW w:w="68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BUSINESS DEVELOPMENT AND</w:t>
            </w:r>
          </w:p>
        </w:tc>
        <w:tc>
          <w:tcPr>
            <w:tcW w:w="68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STRATEGY:</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Experience at large/complex</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organizations providing oversight of</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strategic priorities, corporate and</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business plans, and business</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BCBEC0"/>
            </w:tcBorders>
          </w:tcPr>
          <w:p>
            <w:pPr>
              <w:ind w:left="660"/>
              <w:spacing w:after="0"/>
              <w:rPr>
                <w:sz w:val="20"/>
                <w:szCs w:val="20"/>
                <w:color w:val="auto"/>
              </w:rPr>
            </w:pPr>
            <w:r>
              <w:rPr>
                <w:rFonts w:ascii="Arial" w:cs="Arial" w:eastAsia="Arial" w:hAnsi="Arial"/>
                <w:sz w:val="16"/>
                <w:szCs w:val="16"/>
                <w:color w:val="auto"/>
              </w:rPr>
              <w:t>development.</w:t>
            </w:r>
          </w:p>
        </w:tc>
        <w:tc>
          <w:tcPr>
            <w:tcW w:w="68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CEO:</w:t>
            </w:r>
          </w:p>
        </w:tc>
        <w:tc>
          <w:tcPr>
            <w:tcW w:w="68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Leadership experience as a Chief</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9"/>
              </w:rPr>
              <w:t>55%</w:t>
            </w:r>
          </w:p>
        </w:tc>
        <w:tc>
          <w:tcPr>
            <w:tcW w:w="0" w:type="dxa"/>
            <w:vAlign w:val="bottom"/>
          </w:tcPr>
          <w:p>
            <w:pPr>
              <w:spacing w:after="0"/>
              <w:rPr>
                <w:sz w:val="1"/>
                <w:szCs w:val="1"/>
                <w:color w:val="auto"/>
              </w:rPr>
            </w:pPr>
          </w:p>
        </w:tc>
      </w:tr>
      <w:tr>
        <w:trPr>
          <w:trHeight w:val="120"/>
        </w:trPr>
        <w:tc>
          <w:tcPr>
            <w:tcW w:w="3360" w:type="dxa"/>
            <w:vAlign w:val="bottom"/>
            <w:vMerge w:val="restart"/>
          </w:tcPr>
          <w:p>
            <w:pPr>
              <w:ind w:left="660"/>
              <w:spacing w:after="0"/>
              <w:rPr>
                <w:sz w:val="20"/>
                <w:szCs w:val="20"/>
                <w:color w:val="auto"/>
              </w:rPr>
            </w:pPr>
            <w:r>
              <w:rPr>
                <w:rFonts w:ascii="Arial" w:cs="Arial" w:eastAsia="Arial" w:hAnsi="Arial"/>
                <w:sz w:val="16"/>
                <w:szCs w:val="16"/>
                <w:color w:val="auto"/>
              </w:rPr>
              <w:t>Executive Officer of one or more</w:t>
            </w:r>
          </w:p>
        </w:tc>
        <w:tc>
          <w:tcPr>
            <w:tcW w:w="68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60" w:type="dxa"/>
            <w:vAlign w:val="bottom"/>
            <w:vMerge w:val="continue"/>
          </w:tcPr>
          <w:p>
            <w:pPr>
              <w:spacing w:after="0"/>
              <w:rPr>
                <w:sz w:val="5"/>
                <w:szCs w:val="5"/>
                <w:color w:val="auto"/>
              </w:rPr>
            </w:pPr>
          </w:p>
        </w:tc>
        <w:tc>
          <w:tcPr>
            <w:tcW w:w="68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BCBEC0"/>
            </w:tcBorders>
          </w:tcPr>
          <w:p>
            <w:pPr>
              <w:ind w:left="660"/>
              <w:spacing w:after="0"/>
              <w:rPr>
                <w:sz w:val="20"/>
                <w:szCs w:val="20"/>
                <w:color w:val="auto"/>
              </w:rPr>
            </w:pPr>
            <w:r>
              <w:rPr>
                <w:rFonts w:ascii="Arial" w:cs="Arial" w:eastAsia="Arial" w:hAnsi="Arial"/>
                <w:sz w:val="16"/>
                <w:szCs w:val="16"/>
                <w:color w:val="auto"/>
              </w:rPr>
              <w:t>large/complex organizations.</w:t>
            </w:r>
          </w:p>
        </w:tc>
        <w:tc>
          <w:tcPr>
            <w:tcW w:w="68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CYBERSECURITY AND</w:t>
            </w:r>
          </w:p>
        </w:tc>
        <w:tc>
          <w:tcPr>
            <w:tcW w:w="68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TECHNOLOGY:</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Experience or expertise in technology</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82%</w:t>
            </w: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w w:val="99"/>
              </w:rPr>
              <w:t>or cybersecurity, including information</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BCBEC0"/>
            </w:tcBorders>
          </w:tcPr>
          <w:p>
            <w:pPr>
              <w:ind w:left="660"/>
              <w:spacing w:after="0"/>
              <w:rPr>
                <w:sz w:val="20"/>
                <w:szCs w:val="20"/>
                <w:color w:val="auto"/>
              </w:rPr>
            </w:pPr>
            <w:r>
              <w:rPr>
                <w:rFonts w:ascii="Arial" w:cs="Arial" w:eastAsia="Arial" w:hAnsi="Arial"/>
                <w:sz w:val="16"/>
                <w:szCs w:val="16"/>
                <w:color w:val="auto"/>
              </w:rPr>
              <w:t>security, and e-commerce.</w:t>
            </w:r>
          </w:p>
        </w:tc>
        <w:tc>
          <w:tcPr>
            <w:tcW w:w="68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FINANCIAL:</w:t>
            </w:r>
          </w:p>
        </w:tc>
        <w:tc>
          <w:tcPr>
            <w:tcW w:w="68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Significant expertise in and an</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9"/>
              </w:rPr>
              <w:t>73%</w:t>
            </w:r>
          </w:p>
        </w:tc>
        <w:tc>
          <w:tcPr>
            <w:tcW w:w="0" w:type="dxa"/>
            <w:vAlign w:val="bottom"/>
          </w:tcPr>
          <w:p>
            <w:pPr>
              <w:spacing w:after="0"/>
              <w:rPr>
                <w:sz w:val="1"/>
                <w:szCs w:val="1"/>
                <w:color w:val="auto"/>
              </w:rPr>
            </w:pPr>
          </w:p>
        </w:tc>
      </w:tr>
      <w:tr>
        <w:trPr>
          <w:trHeight w:val="120"/>
        </w:trPr>
        <w:tc>
          <w:tcPr>
            <w:tcW w:w="3360" w:type="dxa"/>
            <w:vAlign w:val="bottom"/>
            <w:vMerge w:val="restart"/>
          </w:tcPr>
          <w:p>
            <w:pPr>
              <w:ind w:left="660"/>
              <w:spacing w:after="0"/>
              <w:rPr>
                <w:sz w:val="20"/>
                <w:szCs w:val="20"/>
                <w:color w:val="auto"/>
              </w:rPr>
            </w:pPr>
            <w:r>
              <w:rPr>
                <w:rFonts w:ascii="Arial" w:cs="Arial" w:eastAsia="Arial" w:hAnsi="Arial"/>
                <w:sz w:val="16"/>
                <w:szCs w:val="16"/>
                <w:color w:val="auto"/>
              </w:rPr>
              <w:t>advanced understanding of finance</w:t>
            </w:r>
          </w:p>
        </w:tc>
        <w:tc>
          <w:tcPr>
            <w:tcW w:w="68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60" w:type="dxa"/>
            <w:vAlign w:val="bottom"/>
            <w:vMerge w:val="continue"/>
          </w:tcPr>
          <w:p>
            <w:pPr>
              <w:spacing w:after="0"/>
              <w:rPr>
                <w:sz w:val="5"/>
                <w:szCs w:val="5"/>
                <w:color w:val="auto"/>
              </w:rPr>
            </w:pPr>
          </w:p>
        </w:tc>
        <w:tc>
          <w:tcPr>
            <w:tcW w:w="68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BCBEC0"/>
            </w:tcBorders>
          </w:tcPr>
          <w:p>
            <w:pPr>
              <w:ind w:left="660"/>
              <w:spacing w:after="0"/>
              <w:rPr>
                <w:sz w:val="20"/>
                <w:szCs w:val="20"/>
                <w:color w:val="auto"/>
              </w:rPr>
            </w:pPr>
            <w:r>
              <w:rPr>
                <w:rFonts w:ascii="Arial" w:cs="Arial" w:eastAsia="Arial" w:hAnsi="Arial"/>
                <w:sz w:val="16"/>
                <w:szCs w:val="16"/>
                <w:color w:val="auto"/>
              </w:rPr>
              <w:t>and accounting.</w:t>
            </w:r>
          </w:p>
        </w:tc>
        <w:tc>
          <w:tcPr>
            <w:tcW w:w="68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GLOBAL:</w:t>
            </w:r>
          </w:p>
        </w:tc>
        <w:tc>
          <w:tcPr>
            <w:tcW w:w="68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Board leadership experience with</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9"/>
              </w:rPr>
              <w:t>82%</w:t>
            </w:r>
          </w:p>
        </w:tc>
        <w:tc>
          <w:tcPr>
            <w:tcW w:w="0" w:type="dxa"/>
            <w:vAlign w:val="bottom"/>
          </w:tcPr>
          <w:p>
            <w:pPr>
              <w:spacing w:after="0"/>
              <w:rPr>
                <w:sz w:val="1"/>
                <w:szCs w:val="1"/>
                <w:color w:val="auto"/>
              </w:rPr>
            </w:pPr>
          </w:p>
        </w:tc>
      </w:tr>
      <w:tr>
        <w:trPr>
          <w:trHeight w:val="120"/>
        </w:trPr>
        <w:tc>
          <w:tcPr>
            <w:tcW w:w="3360" w:type="dxa"/>
            <w:vAlign w:val="bottom"/>
            <w:vMerge w:val="restart"/>
          </w:tcPr>
          <w:p>
            <w:pPr>
              <w:ind w:left="660"/>
              <w:spacing w:after="0"/>
              <w:rPr>
                <w:sz w:val="20"/>
                <w:szCs w:val="20"/>
                <w:color w:val="auto"/>
              </w:rPr>
            </w:pPr>
            <w:r>
              <w:rPr>
                <w:rFonts w:ascii="Arial" w:cs="Arial" w:eastAsia="Arial" w:hAnsi="Arial"/>
                <w:sz w:val="16"/>
                <w:szCs w:val="16"/>
                <w:color w:val="auto"/>
              </w:rPr>
              <w:t>multinational companies or</w:t>
            </w:r>
          </w:p>
        </w:tc>
        <w:tc>
          <w:tcPr>
            <w:tcW w:w="68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60" w:type="dxa"/>
            <w:vAlign w:val="bottom"/>
            <w:vMerge w:val="continue"/>
          </w:tcPr>
          <w:p>
            <w:pPr>
              <w:spacing w:after="0"/>
              <w:rPr>
                <w:sz w:val="5"/>
                <w:szCs w:val="5"/>
                <w:color w:val="auto"/>
              </w:rPr>
            </w:pPr>
          </w:p>
        </w:tc>
        <w:tc>
          <w:tcPr>
            <w:tcW w:w="68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BCBEC0"/>
            </w:tcBorders>
          </w:tcPr>
          <w:p>
            <w:pPr>
              <w:ind w:left="660"/>
              <w:spacing w:after="0"/>
              <w:rPr>
                <w:sz w:val="20"/>
                <w:szCs w:val="20"/>
                <w:color w:val="auto"/>
              </w:rPr>
            </w:pPr>
            <w:r>
              <w:rPr>
                <w:rFonts w:ascii="Arial" w:cs="Arial" w:eastAsia="Arial" w:hAnsi="Arial"/>
                <w:sz w:val="16"/>
                <w:szCs w:val="16"/>
                <w:color w:val="auto"/>
              </w:rPr>
              <w:t>international markets.</w:t>
            </w:r>
          </w:p>
        </w:tc>
        <w:tc>
          <w:tcPr>
            <w:tcW w:w="68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MANUFACTURING:</w:t>
            </w:r>
          </w:p>
        </w:tc>
        <w:tc>
          <w:tcPr>
            <w:tcW w:w="68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Manufacturing experience in the</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w w:val="99"/>
              </w:rPr>
              <w:t>82%</w:t>
            </w:r>
          </w:p>
        </w:tc>
        <w:tc>
          <w:tcPr>
            <w:tcW w:w="0" w:type="dxa"/>
            <w:vAlign w:val="bottom"/>
          </w:tcPr>
          <w:p>
            <w:pPr>
              <w:spacing w:after="0"/>
              <w:rPr>
                <w:sz w:val="1"/>
                <w:szCs w:val="1"/>
                <w:color w:val="auto"/>
              </w:rPr>
            </w:pPr>
          </w:p>
        </w:tc>
      </w:tr>
      <w:tr>
        <w:trPr>
          <w:trHeight w:val="120"/>
        </w:trPr>
        <w:tc>
          <w:tcPr>
            <w:tcW w:w="3360" w:type="dxa"/>
            <w:vAlign w:val="bottom"/>
            <w:vMerge w:val="restart"/>
          </w:tcPr>
          <w:p>
            <w:pPr>
              <w:ind w:left="660"/>
              <w:spacing w:after="0"/>
              <w:rPr>
                <w:sz w:val="20"/>
                <w:szCs w:val="20"/>
                <w:color w:val="auto"/>
              </w:rPr>
            </w:pPr>
            <w:r>
              <w:rPr>
                <w:rFonts w:ascii="Arial" w:cs="Arial" w:eastAsia="Arial" w:hAnsi="Arial"/>
                <w:sz w:val="16"/>
                <w:szCs w:val="16"/>
                <w:color w:val="auto"/>
              </w:rPr>
              <w:t>industry and markets that Hubbell</w:t>
            </w:r>
          </w:p>
        </w:tc>
        <w:tc>
          <w:tcPr>
            <w:tcW w:w="68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shd w:val="clear" w:color="auto" w:fill="F6F6F6"/>
          </w:tcPr>
          <w:p>
            <w:pPr>
              <w:spacing w:after="0"/>
              <w:rPr>
                <w:sz w:val="10"/>
                <w:szCs w:val="10"/>
                <w:color w:val="auto"/>
              </w:rPr>
            </w:pPr>
          </w:p>
        </w:tc>
        <w:tc>
          <w:tcPr>
            <w:tcW w:w="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3360" w:type="dxa"/>
            <w:vAlign w:val="bottom"/>
            <w:vMerge w:val="continue"/>
          </w:tcPr>
          <w:p>
            <w:pPr>
              <w:spacing w:after="0"/>
              <w:rPr>
                <w:sz w:val="5"/>
                <w:szCs w:val="5"/>
                <w:color w:val="auto"/>
              </w:rPr>
            </w:pPr>
          </w:p>
        </w:tc>
        <w:tc>
          <w:tcPr>
            <w:tcW w:w="68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shd w:val="clear" w:color="auto" w:fill="F6F6F6"/>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360" w:type="dxa"/>
            <w:vAlign w:val="bottom"/>
            <w:tcBorders>
              <w:bottom w:val="single" w:sz="8" w:color="BCBEC0"/>
            </w:tcBorders>
          </w:tcPr>
          <w:p>
            <w:pPr>
              <w:ind w:left="660"/>
              <w:spacing w:after="0"/>
              <w:rPr>
                <w:sz w:val="20"/>
                <w:szCs w:val="20"/>
                <w:color w:val="auto"/>
              </w:rPr>
            </w:pPr>
            <w:r>
              <w:rPr>
                <w:rFonts w:ascii="Arial" w:cs="Arial" w:eastAsia="Arial" w:hAnsi="Arial"/>
                <w:sz w:val="16"/>
                <w:szCs w:val="16"/>
                <w:color w:val="auto"/>
              </w:rPr>
              <w:t>serves.</w:t>
            </w:r>
          </w:p>
        </w:tc>
        <w:tc>
          <w:tcPr>
            <w:tcW w:w="68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60" w:type="dxa"/>
            <w:vAlign w:val="bottom"/>
            <w:tcBorders>
              <w:bottom w:val="single" w:sz="8" w:color="BCBEC0"/>
            </w:tcBorders>
          </w:tcPr>
          <w:p>
            <w:pPr>
              <w:spacing w:after="0"/>
              <w:rPr>
                <w:sz w:val="19"/>
                <w:szCs w:val="19"/>
                <w:color w:val="auto"/>
              </w:rPr>
            </w:pPr>
          </w:p>
        </w:tc>
        <w:tc>
          <w:tcPr>
            <w:tcW w:w="660" w:type="dxa"/>
            <w:vAlign w:val="bottom"/>
            <w:tcBorders>
              <w:bottom w:val="single" w:sz="8" w:color="BCBEC0"/>
            </w:tcBorders>
            <w:shd w:val="clear" w:color="auto" w:fill="F6F6F6"/>
          </w:tcPr>
          <w:p>
            <w:pPr>
              <w:spacing w:after="0"/>
              <w:rPr>
                <w:sz w:val="19"/>
                <w:szCs w:val="19"/>
                <w:color w:val="auto"/>
              </w:rPr>
            </w:pPr>
          </w:p>
        </w:tc>
        <w:tc>
          <w:tcPr>
            <w:tcW w:w="600" w:type="dxa"/>
            <w:vAlign w:val="bottom"/>
            <w:tcBorders>
              <w:bottom w:val="single" w:sz="8" w:color="BCBEC0"/>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360" w:type="dxa"/>
            <w:vAlign w:val="bottom"/>
          </w:tcPr>
          <w:p>
            <w:pPr>
              <w:ind w:left="660"/>
              <w:spacing w:after="0"/>
              <w:rPr>
                <w:sz w:val="20"/>
                <w:szCs w:val="20"/>
                <w:color w:val="auto"/>
              </w:rPr>
            </w:pPr>
            <w:r>
              <w:rPr>
                <w:rFonts w:ascii="Arial" w:cs="Arial" w:eastAsia="Arial" w:hAnsi="Arial"/>
                <w:sz w:val="16"/>
                <w:szCs w:val="16"/>
                <w:b w:val="1"/>
                <w:bCs w:val="1"/>
                <w:color w:val="auto"/>
              </w:rPr>
              <w:t>RISK MANAGEMENT:</w:t>
            </w:r>
          </w:p>
        </w:tc>
        <w:tc>
          <w:tcPr>
            <w:tcW w:w="68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shd w:val="clear" w:color="auto" w:fill="F6F6F6"/>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Experience at large/complex</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organizations overseeing various</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company risks and  ensuring that</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there are appropriate mechanisms</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360" w:type="dxa"/>
            <w:vAlign w:val="bottom"/>
          </w:tcPr>
          <w:p>
            <w:pPr>
              <w:ind w:left="660"/>
              <w:spacing w:after="0"/>
              <w:rPr>
                <w:sz w:val="20"/>
                <w:szCs w:val="20"/>
                <w:color w:val="auto"/>
              </w:rPr>
            </w:pPr>
            <w:r>
              <w:rPr>
                <w:rFonts w:ascii="Arial" w:cs="Arial" w:eastAsia="Arial" w:hAnsi="Arial"/>
                <w:sz w:val="16"/>
                <w:szCs w:val="16"/>
                <w:color w:val="auto"/>
              </w:rPr>
              <w:t>and policies in place to mitigate and</w:t>
            </w:r>
          </w:p>
        </w:tc>
        <w:tc>
          <w:tcPr>
            <w:tcW w:w="68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shd w:val="clear" w:color="auto" w:fill="F6F6F6"/>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360" w:type="dxa"/>
            <w:vAlign w:val="bottom"/>
          </w:tcPr>
          <w:p>
            <w:pPr>
              <w:ind w:left="660"/>
              <w:spacing w:after="0"/>
              <w:rPr>
                <w:sz w:val="20"/>
                <w:szCs w:val="20"/>
                <w:color w:val="auto"/>
              </w:rPr>
            </w:pPr>
            <w:r>
              <w:rPr>
                <w:rFonts w:ascii="Arial" w:cs="Arial" w:eastAsia="Arial" w:hAnsi="Arial"/>
                <w:sz w:val="16"/>
                <w:szCs w:val="16"/>
                <w:color w:val="auto"/>
              </w:rPr>
              <w:t>manage those risks.</w:t>
            </w:r>
          </w:p>
        </w:tc>
        <w:tc>
          <w:tcPr>
            <w:tcW w:w="680" w:type="dxa"/>
            <w:vAlign w:val="bottom"/>
            <w:shd w:val="clear" w:color="auto" w:fill="F6F6F6"/>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shd w:val="clear" w:color="auto" w:fill="F6F6F6"/>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shd w:val="clear" w:color="auto" w:fill="F6F6F6"/>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shd w:val="clear" w:color="auto" w:fill="F6F6F6"/>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shd w:val="clear" w:color="auto" w:fill="F6F6F6"/>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shd w:val="clear" w:color="auto" w:fill="F6F6F6"/>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336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Background</w:t>
            </w:r>
          </w:p>
        </w:tc>
        <w:tc>
          <w:tcPr>
            <w:tcW w:w="68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60" w:type="dxa"/>
            <w:vAlign w:val="bottom"/>
            <w:shd w:val="clear" w:color="auto" w:fill="FFE933"/>
          </w:tcPr>
          <w:p>
            <w:pPr>
              <w:spacing w:after="0"/>
              <w:rPr>
                <w:sz w:val="21"/>
                <w:szCs w:val="21"/>
                <w:color w:val="auto"/>
              </w:rPr>
            </w:pPr>
          </w:p>
        </w:tc>
        <w:tc>
          <w:tcPr>
            <w:tcW w:w="600" w:type="dxa"/>
            <w:vAlign w:val="bottom"/>
            <w:shd w:val="clear" w:color="auto" w:fill="FFE933"/>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3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YEARS ON HUBBELL BOARD</w:t>
            </w:r>
          </w:p>
        </w:tc>
        <w:tc>
          <w:tcPr>
            <w:tcW w:w="68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&lt;1</w:t>
            </w:r>
          </w:p>
        </w:tc>
        <w:tc>
          <w:tcPr>
            <w:tcW w:w="660" w:type="dxa"/>
            <w:vAlign w:val="bottom"/>
            <w:vMerge w:val="restart"/>
          </w:tcPr>
          <w:p>
            <w:pPr>
              <w:jc w:val="right"/>
              <w:ind w:right="219"/>
              <w:spacing w:after="0"/>
              <w:rPr>
                <w:sz w:val="20"/>
                <w:szCs w:val="20"/>
                <w:color w:val="auto"/>
              </w:rPr>
            </w:pPr>
            <w:r>
              <w:rPr>
                <w:rFonts w:ascii="Arial" w:cs="Arial" w:eastAsia="Arial" w:hAnsi="Arial"/>
                <w:sz w:val="16"/>
                <w:szCs w:val="16"/>
                <w:color w:val="auto"/>
              </w:rPr>
              <w:t>5</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13</w:t>
            </w:r>
          </w:p>
        </w:tc>
        <w:tc>
          <w:tcPr>
            <w:tcW w:w="660" w:type="dxa"/>
            <w:vAlign w:val="bottom"/>
            <w:vMerge w:val="restart"/>
          </w:tcPr>
          <w:p>
            <w:pPr>
              <w:jc w:val="right"/>
              <w:ind w:right="219"/>
              <w:spacing w:after="0"/>
              <w:rPr>
                <w:sz w:val="20"/>
                <w:szCs w:val="20"/>
                <w:color w:val="auto"/>
              </w:rPr>
            </w:pPr>
            <w:r>
              <w:rPr>
                <w:rFonts w:ascii="Arial" w:cs="Arial" w:eastAsia="Arial" w:hAnsi="Arial"/>
                <w:sz w:val="16"/>
                <w:szCs w:val="16"/>
                <w:color w:val="auto"/>
              </w:rPr>
              <w:t>2</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19</w:t>
            </w:r>
          </w:p>
        </w:tc>
        <w:tc>
          <w:tcPr>
            <w:tcW w:w="660" w:type="dxa"/>
            <w:vAlign w:val="bottom"/>
            <w:vMerge w:val="restart"/>
          </w:tcPr>
          <w:p>
            <w:pPr>
              <w:jc w:val="right"/>
              <w:ind w:right="199"/>
              <w:spacing w:after="0"/>
              <w:rPr>
                <w:sz w:val="20"/>
                <w:szCs w:val="20"/>
                <w:color w:val="auto"/>
              </w:rPr>
            </w:pPr>
            <w:r>
              <w:rPr>
                <w:rFonts w:ascii="Arial" w:cs="Arial" w:eastAsia="Arial" w:hAnsi="Arial"/>
                <w:sz w:val="16"/>
                <w:szCs w:val="16"/>
                <w:color w:val="auto"/>
              </w:rPr>
              <w:t>5</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15</w:t>
            </w:r>
          </w:p>
        </w:tc>
        <w:tc>
          <w:tcPr>
            <w:tcW w:w="660" w:type="dxa"/>
            <w:vAlign w:val="bottom"/>
            <w:vMerge w:val="restart"/>
          </w:tcPr>
          <w:p>
            <w:pPr>
              <w:jc w:val="right"/>
              <w:ind w:right="199"/>
              <w:spacing w:after="0"/>
              <w:rPr>
                <w:sz w:val="20"/>
                <w:szCs w:val="20"/>
                <w:color w:val="auto"/>
              </w:rPr>
            </w:pPr>
            <w:r>
              <w:rPr>
                <w:rFonts w:ascii="Arial" w:cs="Arial" w:eastAsia="Arial" w:hAnsi="Arial"/>
                <w:sz w:val="16"/>
                <w:szCs w:val="16"/>
                <w:color w:val="auto"/>
              </w:rPr>
              <w:t>7</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14</w:t>
            </w:r>
          </w:p>
        </w:tc>
        <w:tc>
          <w:tcPr>
            <w:tcW w:w="660" w:type="dxa"/>
            <w:vAlign w:val="bottom"/>
            <w:vMerge w:val="restart"/>
          </w:tcPr>
          <w:p>
            <w:pPr>
              <w:jc w:val="right"/>
              <w:ind w:right="199"/>
              <w:spacing w:after="0"/>
              <w:rPr>
                <w:sz w:val="20"/>
                <w:szCs w:val="20"/>
                <w:color w:val="auto"/>
              </w:rPr>
            </w:pPr>
            <w:r>
              <w:rPr>
                <w:rFonts w:ascii="Arial" w:cs="Arial" w:eastAsia="Arial" w:hAnsi="Arial"/>
                <w:sz w:val="16"/>
                <w:szCs w:val="16"/>
                <w:color w:val="auto"/>
              </w:rPr>
              <w:t>5</w:t>
            </w:r>
          </w:p>
        </w:tc>
        <w:tc>
          <w:tcPr>
            <w:tcW w:w="660" w:type="dxa"/>
            <w:vAlign w:val="bottom"/>
            <w:vMerge w:val="restart"/>
            <w:shd w:val="clear" w:color="auto" w:fill="F6F6F6"/>
          </w:tcPr>
          <w:p>
            <w:pPr>
              <w:jc w:val="right"/>
              <w:ind w:right="199"/>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8"/>
              </w:rPr>
              <w:t>8 year</w:t>
            </w:r>
          </w:p>
        </w:tc>
        <w:tc>
          <w:tcPr>
            <w:tcW w:w="0" w:type="dxa"/>
            <w:vAlign w:val="bottom"/>
          </w:tcPr>
          <w:p>
            <w:pPr>
              <w:spacing w:after="0"/>
              <w:rPr>
                <w:sz w:val="1"/>
                <w:szCs w:val="1"/>
                <w:color w:val="auto"/>
              </w:rPr>
            </w:pPr>
          </w:p>
        </w:tc>
      </w:tr>
      <w:tr>
        <w:trPr>
          <w:trHeight w:val="128"/>
        </w:trPr>
        <w:tc>
          <w:tcPr>
            <w:tcW w:w="3360" w:type="dxa"/>
            <w:vAlign w:val="bottom"/>
            <w:vMerge w:val="continue"/>
          </w:tcPr>
          <w:p>
            <w:pPr>
              <w:spacing w:after="0"/>
              <w:rPr>
                <w:sz w:val="11"/>
                <w:szCs w:val="11"/>
                <w:color w:val="auto"/>
              </w:rPr>
            </w:pPr>
          </w:p>
        </w:tc>
        <w:tc>
          <w:tcPr>
            <w:tcW w:w="68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96"/>
        </w:trPr>
        <w:tc>
          <w:tcPr>
            <w:tcW w:w="3360" w:type="dxa"/>
            <w:vAlign w:val="bottom"/>
            <w:tcBorders>
              <w:bottom w:val="single" w:sz="8" w:color="BCBEC0"/>
            </w:tcBorders>
          </w:tcPr>
          <w:p>
            <w:pPr>
              <w:spacing w:after="0"/>
              <w:rPr>
                <w:sz w:val="8"/>
                <w:szCs w:val="8"/>
                <w:color w:val="auto"/>
              </w:rPr>
            </w:pPr>
          </w:p>
        </w:tc>
        <w:tc>
          <w:tcPr>
            <w:tcW w:w="68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00" w:type="dxa"/>
            <w:vAlign w:val="bottom"/>
            <w:tcBorders>
              <w:bottom w:val="single" w:sz="8" w:color="BCBEC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36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AGE</w:t>
            </w:r>
          </w:p>
        </w:tc>
        <w:tc>
          <w:tcPr>
            <w:tcW w:w="68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52</w:t>
            </w: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61</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68</w:t>
            </w: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65</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61</w:t>
            </w: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73</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70</w:t>
            </w: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67</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71</w:t>
            </w:r>
          </w:p>
        </w:tc>
        <w:tc>
          <w:tcPr>
            <w:tcW w:w="660" w:type="dxa"/>
            <w:vAlign w:val="bottom"/>
            <w:vMerge w:val="restart"/>
          </w:tcPr>
          <w:p>
            <w:pPr>
              <w:jc w:val="right"/>
              <w:ind w:right="159"/>
              <w:spacing w:after="0"/>
              <w:rPr>
                <w:sz w:val="20"/>
                <w:szCs w:val="20"/>
                <w:color w:val="auto"/>
              </w:rPr>
            </w:pPr>
            <w:r>
              <w:rPr>
                <w:rFonts w:ascii="Arial" w:cs="Arial" w:eastAsia="Arial" w:hAnsi="Arial"/>
                <w:sz w:val="16"/>
                <w:szCs w:val="16"/>
                <w:color w:val="auto"/>
              </w:rPr>
              <w:t>61</w:t>
            </w:r>
          </w:p>
        </w:tc>
        <w:tc>
          <w:tcPr>
            <w:tcW w:w="660" w:type="dxa"/>
            <w:vAlign w:val="bottom"/>
            <w:vMerge w:val="restart"/>
            <w:shd w:val="clear" w:color="auto" w:fill="F6F6F6"/>
          </w:tcPr>
          <w:p>
            <w:pPr>
              <w:jc w:val="right"/>
              <w:ind w:right="159"/>
              <w:spacing w:after="0"/>
              <w:rPr>
                <w:sz w:val="20"/>
                <w:szCs w:val="20"/>
                <w:color w:val="auto"/>
              </w:rPr>
            </w:pPr>
            <w:r>
              <w:rPr>
                <w:rFonts w:ascii="Arial" w:cs="Arial" w:eastAsia="Arial" w:hAnsi="Arial"/>
                <w:sz w:val="16"/>
                <w:szCs w:val="16"/>
                <w:color w:val="auto"/>
              </w:rPr>
              <w:t>51</w:t>
            </w:r>
          </w:p>
        </w:tc>
        <w:tc>
          <w:tcPr>
            <w:tcW w:w="600" w:type="dxa"/>
            <w:vAlign w:val="bottom"/>
          </w:tcPr>
          <w:p>
            <w:pPr>
              <w:jc w:val="center"/>
              <w:spacing w:after="0"/>
              <w:rPr>
                <w:sz w:val="20"/>
                <w:szCs w:val="20"/>
                <w:color w:val="auto"/>
              </w:rPr>
            </w:pPr>
            <w:r>
              <w:rPr>
                <w:rFonts w:ascii="Arial" w:cs="Arial" w:eastAsia="Arial" w:hAnsi="Arial"/>
                <w:sz w:val="16"/>
                <w:szCs w:val="16"/>
                <w:color w:val="auto"/>
              </w:rPr>
              <w:t>64 year</w:t>
            </w:r>
          </w:p>
        </w:tc>
        <w:tc>
          <w:tcPr>
            <w:tcW w:w="0" w:type="dxa"/>
            <w:vAlign w:val="bottom"/>
          </w:tcPr>
          <w:p>
            <w:pPr>
              <w:spacing w:after="0"/>
              <w:rPr>
                <w:sz w:val="1"/>
                <w:szCs w:val="1"/>
                <w:color w:val="auto"/>
              </w:rPr>
            </w:pPr>
          </w:p>
        </w:tc>
      </w:tr>
      <w:tr>
        <w:trPr>
          <w:trHeight w:val="128"/>
        </w:trPr>
        <w:tc>
          <w:tcPr>
            <w:tcW w:w="3360" w:type="dxa"/>
            <w:vAlign w:val="bottom"/>
            <w:vMerge w:val="continue"/>
          </w:tcPr>
          <w:p>
            <w:pPr>
              <w:spacing w:after="0"/>
              <w:rPr>
                <w:sz w:val="11"/>
                <w:szCs w:val="11"/>
                <w:color w:val="auto"/>
              </w:rPr>
            </w:pPr>
          </w:p>
        </w:tc>
        <w:tc>
          <w:tcPr>
            <w:tcW w:w="68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shd w:val="clear" w:color="auto" w:fill="F6F6F6"/>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6"/>
                <w:szCs w:val="16"/>
                <w:color w:val="auto"/>
              </w:rPr>
              <w:t>average</w:t>
            </w:r>
          </w:p>
        </w:tc>
        <w:tc>
          <w:tcPr>
            <w:tcW w:w="0" w:type="dxa"/>
            <w:vAlign w:val="bottom"/>
          </w:tcPr>
          <w:p>
            <w:pPr>
              <w:spacing w:after="0"/>
              <w:rPr>
                <w:sz w:val="1"/>
                <w:szCs w:val="1"/>
                <w:color w:val="auto"/>
              </w:rPr>
            </w:pPr>
          </w:p>
        </w:tc>
      </w:tr>
      <w:tr>
        <w:trPr>
          <w:trHeight w:val="95"/>
        </w:trPr>
        <w:tc>
          <w:tcPr>
            <w:tcW w:w="3360" w:type="dxa"/>
            <w:vAlign w:val="bottom"/>
            <w:tcBorders>
              <w:bottom w:val="single" w:sz="8" w:color="BCBEC0"/>
            </w:tcBorders>
          </w:tcPr>
          <w:p>
            <w:pPr>
              <w:spacing w:after="0"/>
              <w:rPr>
                <w:sz w:val="8"/>
                <w:szCs w:val="8"/>
                <w:color w:val="auto"/>
              </w:rPr>
            </w:pPr>
          </w:p>
        </w:tc>
        <w:tc>
          <w:tcPr>
            <w:tcW w:w="68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60" w:type="dxa"/>
            <w:vAlign w:val="bottom"/>
            <w:tcBorders>
              <w:bottom w:val="single" w:sz="8" w:color="BCBEC0"/>
            </w:tcBorders>
          </w:tcPr>
          <w:p>
            <w:pPr>
              <w:spacing w:after="0"/>
              <w:rPr>
                <w:sz w:val="8"/>
                <w:szCs w:val="8"/>
                <w:color w:val="auto"/>
              </w:rPr>
            </w:pPr>
          </w:p>
        </w:tc>
        <w:tc>
          <w:tcPr>
            <w:tcW w:w="660" w:type="dxa"/>
            <w:vAlign w:val="bottom"/>
            <w:tcBorders>
              <w:bottom w:val="single" w:sz="8" w:color="BCBEC0"/>
            </w:tcBorders>
            <w:shd w:val="clear" w:color="auto" w:fill="F6F6F6"/>
          </w:tcPr>
          <w:p>
            <w:pPr>
              <w:spacing w:after="0"/>
              <w:rPr>
                <w:sz w:val="8"/>
                <w:szCs w:val="8"/>
                <w:color w:val="auto"/>
              </w:rPr>
            </w:pPr>
          </w:p>
        </w:tc>
        <w:tc>
          <w:tcPr>
            <w:tcW w:w="600" w:type="dxa"/>
            <w:vAlign w:val="bottom"/>
            <w:tcBorders>
              <w:bottom w:val="single" w:sz="8" w:color="BCBEC0"/>
            </w:tcBorders>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-5579745</wp:posOffset>
            </wp:positionV>
            <wp:extent cx="385445" cy="3175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5445" cy="31750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-5459730</wp:posOffset>
            </wp:positionV>
            <wp:extent cx="85725" cy="939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-5459730</wp:posOffset>
            </wp:positionV>
            <wp:extent cx="85725" cy="857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-5459730</wp:posOffset>
            </wp:positionV>
            <wp:extent cx="85725" cy="939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-5459730</wp:posOffset>
            </wp:positionV>
            <wp:extent cx="85725" cy="85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-5459730</wp:posOffset>
            </wp:positionV>
            <wp:extent cx="85725" cy="939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-5459730</wp:posOffset>
            </wp:positionV>
            <wp:extent cx="85725" cy="939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-5459730</wp:posOffset>
            </wp:positionV>
            <wp:extent cx="85725" cy="8572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-5459730</wp:posOffset>
            </wp:positionV>
            <wp:extent cx="85725" cy="857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-5459730</wp:posOffset>
            </wp:positionV>
            <wp:extent cx="85725" cy="939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-4945380</wp:posOffset>
            </wp:positionV>
            <wp:extent cx="385445" cy="3511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85445" cy="3511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-4817110</wp:posOffset>
            </wp:positionV>
            <wp:extent cx="85725" cy="939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-4817110</wp:posOffset>
            </wp:positionV>
            <wp:extent cx="85725" cy="857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-4817110</wp:posOffset>
            </wp:positionV>
            <wp:extent cx="85725" cy="939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-4817110</wp:posOffset>
            </wp:positionV>
            <wp:extent cx="85725" cy="857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-4817110</wp:posOffset>
            </wp:positionV>
            <wp:extent cx="85725" cy="939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-4817110</wp:posOffset>
            </wp:positionV>
            <wp:extent cx="85725" cy="774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-4817110</wp:posOffset>
            </wp:positionV>
            <wp:extent cx="85725" cy="939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-4817110</wp:posOffset>
            </wp:positionV>
            <wp:extent cx="85725" cy="8572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-4817110</wp:posOffset>
            </wp:positionV>
            <wp:extent cx="85725" cy="939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-4817110</wp:posOffset>
            </wp:positionV>
            <wp:extent cx="85725" cy="857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-4817110</wp:posOffset>
            </wp:positionV>
            <wp:extent cx="85725" cy="939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-4242435</wp:posOffset>
            </wp:positionV>
            <wp:extent cx="385445" cy="3340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5445" cy="33401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-4114165</wp:posOffset>
            </wp:positionV>
            <wp:extent cx="85725" cy="8572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-4114165</wp:posOffset>
            </wp:positionV>
            <wp:extent cx="85725" cy="939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-4114165</wp:posOffset>
            </wp:positionV>
            <wp:extent cx="85725" cy="939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-4114165</wp:posOffset>
            </wp:positionV>
            <wp:extent cx="85725" cy="939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-4114165</wp:posOffset>
            </wp:positionV>
            <wp:extent cx="85725" cy="939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-4114165</wp:posOffset>
            </wp:positionV>
            <wp:extent cx="85725" cy="939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-3676650</wp:posOffset>
            </wp:positionV>
            <wp:extent cx="385445" cy="3683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85445" cy="36830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-3531235</wp:posOffset>
            </wp:positionV>
            <wp:extent cx="85725" cy="946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-3531235</wp:posOffset>
            </wp:positionV>
            <wp:extent cx="85725" cy="8572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-3531235</wp:posOffset>
            </wp:positionV>
            <wp:extent cx="85725" cy="946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-3531235</wp:posOffset>
            </wp:positionV>
            <wp:extent cx="85725" cy="857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-3531235</wp:posOffset>
            </wp:positionV>
            <wp:extent cx="85725" cy="946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-3531235</wp:posOffset>
            </wp:positionV>
            <wp:extent cx="85725" cy="8572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-3531235</wp:posOffset>
            </wp:positionV>
            <wp:extent cx="85725" cy="94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-3531235</wp:posOffset>
            </wp:positionV>
            <wp:extent cx="85725" cy="946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-3531235</wp:posOffset>
            </wp:positionV>
            <wp:extent cx="85725" cy="946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-3076575</wp:posOffset>
            </wp:positionV>
            <wp:extent cx="385445" cy="3511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85445" cy="3511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-2948305</wp:posOffset>
            </wp:positionV>
            <wp:extent cx="85725" cy="857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-2948305</wp:posOffset>
            </wp:positionV>
            <wp:extent cx="85725" cy="939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-2948305</wp:posOffset>
            </wp:positionV>
            <wp:extent cx="85725" cy="857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-2948305</wp:posOffset>
            </wp:positionV>
            <wp:extent cx="85725" cy="939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-2948305</wp:posOffset>
            </wp:positionV>
            <wp:extent cx="85725" cy="939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-2948305</wp:posOffset>
            </wp:positionV>
            <wp:extent cx="85725" cy="8572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-2948305</wp:posOffset>
            </wp:positionV>
            <wp:extent cx="85725" cy="939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-2948305</wp:posOffset>
            </wp:positionV>
            <wp:extent cx="85725" cy="857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-2553970</wp:posOffset>
            </wp:positionV>
            <wp:extent cx="385445" cy="3346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85445" cy="33464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-2425065</wp:posOffset>
            </wp:positionV>
            <wp:extent cx="85725" cy="857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-2425065</wp:posOffset>
            </wp:positionV>
            <wp:extent cx="85725" cy="939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-2425065</wp:posOffset>
            </wp:positionV>
            <wp:extent cx="85725" cy="857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-2425065</wp:posOffset>
            </wp:positionV>
            <wp:extent cx="85725" cy="939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-2425065</wp:posOffset>
            </wp:positionV>
            <wp:extent cx="85725" cy="857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-2425065</wp:posOffset>
            </wp:positionV>
            <wp:extent cx="85725" cy="939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-2425065</wp:posOffset>
            </wp:positionV>
            <wp:extent cx="85725" cy="857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-2425065</wp:posOffset>
            </wp:positionV>
            <wp:extent cx="85725" cy="939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-2425065</wp:posOffset>
            </wp:positionV>
            <wp:extent cx="85725" cy="857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-2030730</wp:posOffset>
            </wp:positionV>
            <wp:extent cx="385445" cy="3517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5445" cy="3517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-1902460</wp:posOffset>
            </wp:positionV>
            <wp:extent cx="85725" cy="946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-1902460</wp:posOffset>
            </wp:positionV>
            <wp:extent cx="85725" cy="857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-1902460</wp:posOffset>
            </wp:positionV>
            <wp:extent cx="85725" cy="946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-1902460</wp:posOffset>
            </wp:positionV>
            <wp:extent cx="85725" cy="946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-1902460</wp:posOffset>
            </wp:positionV>
            <wp:extent cx="85725" cy="946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-1902460</wp:posOffset>
            </wp:positionV>
            <wp:extent cx="85725" cy="857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-1902460</wp:posOffset>
            </wp:positionV>
            <wp:extent cx="85725" cy="946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-1902460</wp:posOffset>
            </wp:positionV>
            <wp:extent cx="85725" cy="857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-1902460</wp:posOffset>
            </wp:positionV>
            <wp:extent cx="85725" cy="946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9461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-1319530</wp:posOffset>
            </wp:positionV>
            <wp:extent cx="385445" cy="3257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5445" cy="325755"/>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-1199515</wp:posOffset>
            </wp:positionV>
            <wp:extent cx="85725" cy="939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-1199515</wp:posOffset>
            </wp:positionV>
            <wp:extent cx="85725" cy="857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-1199515</wp:posOffset>
            </wp:positionV>
            <wp:extent cx="85725" cy="939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-1199515</wp:posOffset>
            </wp:positionV>
            <wp:extent cx="85725" cy="8572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-1199515</wp:posOffset>
            </wp:positionV>
            <wp:extent cx="85725" cy="939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-1199515</wp:posOffset>
            </wp:positionV>
            <wp:extent cx="85725" cy="857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-1199515</wp:posOffset>
            </wp:positionV>
            <wp:extent cx="85725" cy="939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-1199515</wp:posOffset>
            </wp:positionV>
            <wp:extent cx="85725" cy="857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-1199515</wp:posOffset>
            </wp:positionV>
            <wp:extent cx="85725" cy="939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9398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-1199515</wp:posOffset>
            </wp:positionV>
            <wp:extent cx="85725" cy="8572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572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-1199515</wp:posOffset>
            </wp:positionV>
            <wp:extent cx="85725" cy="939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93980"/>
                    </a:xfrm>
                    <a:prstGeom prst="rect">
                      <a:avLst/>
                    </a:prstGeom>
                    <a:noFill/>
                  </pic:spPr>
                </pic:pic>
              </a:graphicData>
            </a:graphic>
          </wp:anchor>
        </w:drawing>
      </w:r>
    </w:p>
    <w:p>
      <w:pPr>
        <w:spacing w:after="0" w:line="15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16</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biographies provide certain information about each nominee, including each nominee’s background, age as of the 2026 Annual Meeting, and relevant experience in more detail.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71525" cy="7715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90805</wp:posOffset>
            </wp:positionV>
            <wp:extent cx="1654175" cy="2743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54175" cy="27432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52</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2025</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Edward H. Baine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300470" cy="21513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300470" cy="2151380"/>
                    </a:xfrm>
                    <a:prstGeom prst="rect">
                      <a:avLst/>
                    </a:prstGeom>
                    <a:noFill/>
                  </pic:spPr>
                </pic:pic>
              </a:graphicData>
            </a:graphic>
          </wp:anchor>
        </w:drawing>
      </w:r>
    </w:p>
    <w:p>
      <w:pPr>
        <w:spacing w:after="0" w:line="274" w:lineRule="exact"/>
        <w:rPr>
          <w:sz w:val="20"/>
          <w:szCs w:val="20"/>
          <w:color w:val="auto"/>
        </w:rPr>
      </w:pPr>
    </w:p>
    <w:p>
      <w:pPr>
        <w:ind w:left="80"/>
        <w:spacing w:after="0"/>
        <w:tabs>
          <w:tab w:leader="none" w:pos="2800" w:val="left"/>
        </w:tabs>
        <w:rPr>
          <w:sz w:val="20"/>
          <w:szCs w:val="20"/>
          <w:color w:val="auto"/>
        </w:rPr>
      </w:pPr>
      <w:r>
        <w:rPr>
          <w:rFonts w:ascii="Arial" w:cs="Arial" w:eastAsia="Arial" w:hAnsi="Arial"/>
          <w:sz w:val="16"/>
          <w:szCs w:val="16"/>
          <w:b w:val="1"/>
          <w:bCs w:val="1"/>
          <w:color w:val="auto"/>
        </w:rPr>
        <w:t>COMMITTEES:</w:t>
      </w:r>
      <w:r>
        <w:rPr>
          <w:sz w:val="20"/>
          <w:szCs w:val="20"/>
          <w:color w:val="auto"/>
        </w:rPr>
        <w:tab/>
      </w: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240" w:hanging="153"/>
        <w:spacing w:after="0"/>
        <w:tabs>
          <w:tab w:leader="none" w:pos="240" w:val="left"/>
        </w:tabs>
        <w:numPr>
          <w:ilvl w:val="0"/>
          <w:numId w:val="6"/>
        </w:numPr>
        <w:rPr>
          <w:rFonts w:ascii="Arial" w:cs="Arial" w:eastAsia="Arial" w:hAnsi="Arial"/>
          <w:sz w:val="16"/>
          <w:szCs w:val="16"/>
          <w:color w:val="2F8B9E"/>
        </w:rPr>
      </w:pPr>
      <w:r>
        <w:rPr>
          <w:rFonts w:ascii="Arial" w:cs="Arial" w:eastAsia="Arial" w:hAnsi="Arial"/>
          <w:sz w:val="16"/>
          <w:szCs w:val="16"/>
          <w:color w:val="auto"/>
        </w:rPr>
        <w:t>Compensation</w:t>
      </w:r>
    </w:p>
    <w:tbl>
      <w:tblPr>
        <w:tblLayout w:type="fixed"/>
        <w:tblInd w:w="80" w:type="dxa"/>
        <w:tblCellMar>
          <w:top w:w="0" w:type="dxa"/>
          <w:left w:w="0" w:type="dxa"/>
          <w:bottom w:w="0" w:type="dxa"/>
          <w:right w:w="0" w:type="dxa"/>
        </w:tblCellMar>
      </w:tblPr>
      <w:tr>
        <w:trPr>
          <w:trHeight w:val="178"/>
        </w:trPr>
        <w:tc>
          <w:tcPr>
            <w:tcW w:w="100" w:type="dxa"/>
            <w:vAlign w:val="bottom"/>
          </w:tcPr>
          <w:p>
            <w:pPr>
              <w:spacing w:after="0" w:line="178" w:lineRule="exact"/>
              <w:rPr>
                <w:sz w:val="20"/>
                <w:szCs w:val="20"/>
                <w:color w:val="auto"/>
              </w:rPr>
            </w:pPr>
            <w:r>
              <w:rPr>
                <w:rFonts w:ascii="Arial" w:cs="Arial" w:eastAsia="Arial" w:hAnsi="Arial"/>
                <w:sz w:val="16"/>
                <w:szCs w:val="16"/>
                <w:color w:val="2F8B9E"/>
              </w:rPr>
              <w:t>•</w:t>
            </w:r>
          </w:p>
        </w:tc>
        <w:tc>
          <w:tcPr>
            <w:tcW w:w="2360" w:type="dxa"/>
            <w:vAlign w:val="bottom"/>
          </w:tcPr>
          <w:p>
            <w:pPr>
              <w:ind w:left="60"/>
              <w:spacing w:after="0" w:line="178" w:lineRule="exact"/>
              <w:rPr>
                <w:sz w:val="20"/>
                <w:szCs w:val="20"/>
                <w:color w:val="auto"/>
              </w:rPr>
            </w:pPr>
            <w:r>
              <w:rPr>
                <w:rFonts w:ascii="Arial" w:cs="Arial" w:eastAsia="Arial" w:hAnsi="Arial"/>
                <w:sz w:val="16"/>
                <w:szCs w:val="16"/>
                <w:color w:val="auto"/>
              </w:rPr>
              <w:t>Finance</w:t>
            </w:r>
          </w:p>
        </w:tc>
        <w:tc>
          <w:tcPr>
            <w:tcW w:w="7320" w:type="dxa"/>
            <w:vAlign w:val="bottom"/>
            <w:gridSpan w:val="2"/>
          </w:tcPr>
          <w:p>
            <w:pPr>
              <w:ind w:left="280"/>
              <w:spacing w:after="0" w:line="178" w:lineRule="exact"/>
              <w:rPr>
                <w:sz w:val="20"/>
                <w:szCs w:val="20"/>
                <w:color w:val="auto"/>
              </w:rPr>
            </w:pPr>
            <w:r>
              <w:rPr>
                <w:rFonts w:ascii="Arial" w:cs="Arial" w:eastAsia="Arial" w:hAnsi="Arial"/>
                <w:sz w:val="16"/>
                <w:szCs w:val="16"/>
                <w:b w:val="1"/>
                <w:bCs w:val="1"/>
                <w:color w:val="auto"/>
              </w:rPr>
              <w:t>Mr. Baine brings to the Board experience as a public company executive officer and</w:t>
            </w:r>
          </w:p>
        </w:tc>
      </w:tr>
      <w:tr>
        <w:trPr>
          <w:trHeight w:val="189"/>
        </w:trPr>
        <w:tc>
          <w:tcPr>
            <w:tcW w:w="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7320" w:type="dxa"/>
            <w:vAlign w:val="bottom"/>
            <w:gridSpan w:val="2"/>
          </w:tcPr>
          <w:p>
            <w:pPr>
              <w:ind w:left="280"/>
              <w:spacing w:after="0"/>
              <w:rPr>
                <w:sz w:val="20"/>
                <w:szCs w:val="20"/>
                <w:color w:val="auto"/>
              </w:rPr>
            </w:pPr>
            <w:r>
              <w:rPr>
                <w:rFonts w:ascii="Arial" w:cs="Arial" w:eastAsia="Arial" w:hAnsi="Arial"/>
                <w:sz w:val="16"/>
                <w:szCs w:val="16"/>
                <w:b w:val="1"/>
                <w:bCs w:val="1"/>
                <w:color w:val="auto"/>
              </w:rPr>
              <w:t>Director in the utility industry and possesses a strong background in operations, regulated</w:t>
            </w:r>
          </w:p>
        </w:tc>
      </w:tr>
      <w:tr>
        <w:trPr>
          <w:trHeight w:val="189"/>
        </w:trPr>
        <w:tc>
          <w:tcPr>
            <w:tcW w:w="2460" w:type="dxa"/>
            <w:vAlign w:val="bottom"/>
            <w:gridSpan w:val="2"/>
          </w:tcPr>
          <w:p>
            <w:pPr>
              <w:spacing w:after="0"/>
              <w:rPr>
                <w:sz w:val="20"/>
                <w:szCs w:val="20"/>
                <w:color w:val="auto"/>
              </w:rPr>
            </w:pPr>
            <w:r>
              <w:rPr>
                <w:rFonts w:ascii="Arial" w:cs="Arial" w:eastAsia="Arial" w:hAnsi="Arial"/>
                <w:sz w:val="16"/>
                <w:szCs w:val="16"/>
                <w:b w:val="1"/>
                <w:bCs w:val="1"/>
                <w:color w:val="auto"/>
              </w:rPr>
              <w:t>DIRECTORSHIPS:</w:t>
            </w:r>
          </w:p>
        </w:tc>
        <w:tc>
          <w:tcPr>
            <w:tcW w:w="7320" w:type="dxa"/>
            <w:vAlign w:val="bottom"/>
            <w:gridSpan w:val="2"/>
          </w:tcPr>
          <w:p>
            <w:pPr>
              <w:ind w:left="280"/>
              <w:spacing w:after="0"/>
              <w:rPr>
                <w:sz w:val="20"/>
                <w:szCs w:val="20"/>
                <w:color w:val="auto"/>
              </w:rPr>
            </w:pPr>
            <w:r>
              <w:rPr>
                <w:rFonts w:ascii="Arial" w:cs="Arial" w:eastAsia="Arial" w:hAnsi="Arial"/>
                <w:sz w:val="16"/>
                <w:szCs w:val="16"/>
                <w:b w:val="1"/>
                <w:bCs w:val="1"/>
                <w:color w:val="auto"/>
              </w:rPr>
              <w:t>utilities, and governance, including:</w:t>
            </w:r>
          </w:p>
        </w:tc>
      </w:tr>
      <w:tr>
        <w:trPr>
          <w:trHeight w:val="189"/>
        </w:trPr>
        <w:tc>
          <w:tcPr>
            <w:tcW w:w="2460" w:type="dxa"/>
            <w:vAlign w:val="bottom"/>
            <w:gridSpan w:val="2"/>
          </w:tcPr>
          <w:p>
            <w:pPr>
              <w:spacing w:after="0"/>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Dominion Energy South</w:t>
            </w:r>
          </w:p>
        </w:tc>
        <w:tc>
          <w:tcPr>
            <w:tcW w:w="380" w:type="dxa"/>
            <w:vAlign w:val="bottom"/>
          </w:tcPr>
          <w:p>
            <w:pPr>
              <w:spacing w:after="0"/>
              <w:rPr>
                <w:sz w:val="16"/>
                <w:szCs w:val="16"/>
                <w:color w:val="auto"/>
              </w:rPr>
            </w:pPr>
          </w:p>
        </w:tc>
        <w:tc>
          <w:tcPr>
            <w:tcW w:w="6940" w:type="dxa"/>
            <w:vAlign w:val="bottom"/>
          </w:tcPr>
          <w:p>
            <w:pPr>
              <w:spacing w:after="0"/>
              <w:rPr>
                <w:sz w:val="16"/>
                <w:szCs w:val="16"/>
                <w:color w:val="auto"/>
              </w:rPr>
            </w:pPr>
          </w:p>
        </w:tc>
      </w:tr>
      <w:tr>
        <w:trPr>
          <w:trHeight w:val="189"/>
        </w:trPr>
        <w:tc>
          <w:tcPr>
            <w:tcW w:w="100" w:type="dxa"/>
            <w:vAlign w:val="bottom"/>
          </w:tcPr>
          <w:p>
            <w:pPr>
              <w:spacing w:after="0"/>
              <w:rPr>
                <w:sz w:val="16"/>
                <w:szCs w:val="16"/>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auto"/>
              </w:rPr>
              <w:t>Carolina, Inc. (DESC), since</w:t>
            </w:r>
          </w:p>
        </w:tc>
        <w:tc>
          <w:tcPr>
            <w:tcW w:w="380" w:type="dxa"/>
            <w:vAlign w:val="bottom"/>
          </w:tcPr>
          <w:p>
            <w:pPr>
              <w:ind w:left="280"/>
              <w:spacing w:after="0"/>
              <w:rPr>
                <w:sz w:val="20"/>
                <w:szCs w:val="20"/>
                <w:color w:val="auto"/>
              </w:rPr>
            </w:pPr>
            <w:r>
              <w:rPr>
                <w:rFonts w:ascii="Arial" w:cs="Arial" w:eastAsia="Arial" w:hAnsi="Arial"/>
                <w:sz w:val="16"/>
                <w:szCs w:val="16"/>
                <w:color w:val="2F8B9E"/>
              </w:rPr>
              <w:t>•</w:t>
            </w:r>
          </w:p>
        </w:tc>
        <w:tc>
          <w:tcPr>
            <w:tcW w:w="6940" w:type="dxa"/>
            <w:vAlign w:val="bottom"/>
          </w:tcPr>
          <w:p>
            <w:pPr>
              <w:ind w:left="60"/>
              <w:spacing w:after="0"/>
              <w:rPr>
                <w:sz w:val="20"/>
                <w:szCs w:val="20"/>
                <w:color w:val="auto"/>
              </w:rPr>
            </w:pPr>
            <w:r>
              <w:rPr>
                <w:rFonts w:ascii="Arial" w:cs="Arial" w:eastAsia="Arial" w:hAnsi="Arial"/>
                <w:sz w:val="16"/>
                <w:szCs w:val="16"/>
                <w:color w:val="auto"/>
              </w:rPr>
              <w:t>Serving in the following positions at Dominion Energy, Inc. ("Dominion Energy"): Executive Vice</w:t>
            </w:r>
          </w:p>
        </w:tc>
      </w:tr>
      <w:tr>
        <w:trPr>
          <w:trHeight w:val="189"/>
        </w:trPr>
        <w:tc>
          <w:tcPr>
            <w:tcW w:w="100" w:type="dxa"/>
            <w:vAlign w:val="bottom"/>
          </w:tcPr>
          <w:p>
            <w:pPr>
              <w:spacing w:after="0"/>
              <w:rPr>
                <w:sz w:val="16"/>
                <w:szCs w:val="16"/>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auto"/>
              </w:rPr>
              <w:t>January 2025</w:t>
            </w:r>
          </w:p>
        </w:tc>
        <w:tc>
          <w:tcPr>
            <w:tcW w:w="380" w:type="dxa"/>
            <w:vAlign w:val="bottom"/>
          </w:tcPr>
          <w:p>
            <w:pPr>
              <w:spacing w:after="0"/>
              <w:rPr>
                <w:sz w:val="16"/>
                <w:szCs w:val="16"/>
                <w:color w:val="auto"/>
              </w:rPr>
            </w:pPr>
          </w:p>
        </w:tc>
        <w:tc>
          <w:tcPr>
            <w:tcW w:w="6940" w:type="dxa"/>
            <w:vAlign w:val="bottom"/>
          </w:tcPr>
          <w:p>
            <w:pPr>
              <w:ind w:left="60"/>
              <w:spacing w:after="0"/>
              <w:rPr>
                <w:sz w:val="20"/>
                <w:szCs w:val="20"/>
                <w:color w:val="auto"/>
              </w:rPr>
            </w:pPr>
            <w:r>
              <w:rPr>
                <w:rFonts w:ascii="Arial" w:cs="Arial" w:eastAsia="Arial" w:hAnsi="Arial"/>
                <w:sz w:val="16"/>
                <w:szCs w:val="16"/>
                <w:color w:val="auto"/>
              </w:rPr>
              <w:t>President—Utility Operations and President—Dominion Energy Virginia from July 2025 to</w:t>
            </w:r>
          </w:p>
        </w:tc>
      </w:tr>
      <w:tr>
        <w:trPr>
          <w:trHeight w:val="175"/>
        </w:trPr>
        <w:tc>
          <w:tcPr>
            <w:tcW w:w="100" w:type="dxa"/>
            <w:vAlign w:val="bottom"/>
          </w:tcPr>
          <w:p>
            <w:pPr>
              <w:spacing w:after="0" w:line="175" w:lineRule="exact"/>
              <w:rPr>
                <w:sz w:val="20"/>
                <w:szCs w:val="20"/>
                <w:color w:val="auto"/>
              </w:rPr>
            </w:pPr>
            <w:r>
              <w:rPr>
                <w:rFonts w:ascii="Arial" w:cs="Arial" w:eastAsia="Arial" w:hAnsi="Arial"/>
                <w:sz w:val="16"/>
                <w:szCs w:val="16"/>
                <w:color w:val="2F8B9E"/>
              </w:rPr>
              <w:t>•</w:t>
            </w:r>
          </w:p>
        </w:tc>
        <w:tc>
          <w:tcPr>
            <w:tcW w:w="2360" w:type="dxa"/>
            <w:vAlign w:val="bottom"/>
          </w:tcPr>
          <w:p>
            <w:pPr>
              <w:ind w:left="60"/>
              <w:spacing w:after="0" w:line="175" w:lineRule="exact"/>
              <w:rPr>
                <w:sz w:val="20"/>
                <w:szCs w:val="20"/>
                <w:color w:val="auto"/>
              </w:rPr>
            </w:pPr>
            <w:r>
              <w:rPr>
                <w:rFonts w:ascii="Arial" w:cs="Arial" w:eastAsia="Arial" w:hAnsi="Arial"/>
                <w:sz w:val="16"/>
                <w:szCs w:val="16"/>
                <w:color w:val="auto"/>
              </w:rPr>
              <w:t>Virginia Electric and Power</w:t>
            </w:r>
          </w:p>
        </w:tc>
        <w:tc>
          <w:tcPr>
            <w:tcW w:w="380" w:type="dxa"/>
            <w:vAlign w:val="bottom"/>
          </w:tcPr>
          <w:p>
            <w:pPr>
              <w:spacing w:after="0"/>
              <w:rPr>
                <w:sz w:val="15"/>
                <w:szCs w:val="15"/>
                <w:color w:val="auto"/>
              </w:rPr>
            </w:pPr>
          </w:p>
        </w:tc>
        <w:tc>
          <w:tcPr>
            <w:tcW w:w="6940" w:type="dxa"/>
            <w:vAlign w:val="bottom"/>
          </w:tcPr>
          <w:p>
            <w:pPr>
              <w:ind w:left="60"/>
              <w:spacing w:after="0" w:line="175" w:lineRule="exact"/>
              <w:rPr>
                <w:sz w:val="20"/>
                <w:szCs w:val="20"/>
                <w:color w:val="auto"/>
              </w:rPr>
            </w:pPr>
            <w:r>
              <w:rPr>
                <w:rFonts w:ascii="Arial" w:cs="Arial" w:eastAsia="Arial" w:hAnsi="Arial"/>
                <w:sz w:val="16"/>
                <w:szCs w:val="16"/>
                <w:color w:val="auto"/>
              </w:rPr>
              <w:t>present.</w:t>
            </w:r>
          </w:p>
        </w:tc>
      </w:tr>
      <w:tr>
        <w:trPr>
          <w:trHeight w:val="189"/>
        </w:trPr>
        <w:tc>
          <w:tcPr>
            <w:tcW w:w="100" w:type="dxa"/>
            <w:vAlign w:val="bottom"/>
          </w:tcPr>
          <w:p>
            <w:pPr>
              <w:spacing w:after="0"/>
              <w:rPr>
                <w:sz w:val="16"/>
                <w:szCs w:val="16"/>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auto"/>
              </w:rPr>
              <w:t>Company (VEPCO), since</w:t>
            </w:r>
          </w:p>
        </w:tc>
        <w:tc>
          <w:tcPr>
            <w:tcW w:w="7320" w:type="dxa"/>
            <w:vAlign w:val="bottom"/>
            <w:gridSpan w:val="2"/>
          </w:tcPr>
          <w:p>
            <w:pPr>
              <w:ind w:left="280"/>
              <w:spacing w:after="0"/>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Served as President—Utility Operations and President—Dominion Energy Virginia from January</w:t>
            </w:r>
          </w:p>
        </w:tc>
      </w:tr>
      <w:tr>
        <w:trPr>
          <w:trHeight w:val="189"/>
        </w:trPr>
        <w:tc>
          <w:tcPr>
            <w:tcW w:w="100" w:type="dxa"/>
            <w:vAlign w:val="bottom"/>
          </w:tcPr>
          <w:p>
            <w:pPr>
              <w:spacing w:after="0"/>
              <w:rPr>
                <w:sz w:val="16"/>
                <w:szCs w:val="16"/>
                <w:color w:val="auto"/>
              </w:rPr>
            </w:pPr>
          </w:p>
        </w:tc>
        <w:tc>
          <w:tcPr>
            <w:tcW w:w="2360" w:type="dxa"/>
            <w:vAlign w:val="bottom"/>
          </w:tcPr>
          <w:p>
            <w:pPr>
              <w:ind w:left="60"/>
              <w:spacing w:after="0"/>
              <w:rPr>
                <w:sz w:val="20"/>
                <w:szCs w:val="20"/>
                <w:color w:val="auto"/>
              </w:rPr>
            </w:pPr>
            <w:r>
              <w:rPr>
                <w:rFonts w:ascii="Arial" w:cs="Arial" w:eastAsia="Arial" w:hAnsi="Arial"/>
                <w:sz w:val="16"/>
                <w:szCs w:val="16"/>
                <w:color w:val="auto"/>
              </w:rPr>
              <w:t>October 2020</w:t>
            </w:r>
          </w:p>
        </w:tc>
        <w:tc>
          <w:tcPr>
            <w:tcW w:w="380" w:type="dxa"/>
            <w:vAlign w:val="bottom"/>
          </w:tcPr>
          <w:p>
            <w:pPr>
              <w:spacing w:after="0"/>
              <w:rPr>
                <w:sz w:val="16"/>
                <w:szCs w:val="16"/>
                <w:color w:val="auto"/>
              </w:rPr>
            </w:pPr>
          </w:p>
        </w:tc>
        <w:tc>
          <w:tcPr>
            <w:tcW w:w="6940" w:type="dxa"/>
            <w:vAlign w:val="bottom"/>
          </w:tcPr>
          <w:p>
            <w:pPr>
              <w:ind w:left="60"/>
              <w:spacing w:after="0"/>
              <w:rPr>
                <w:sz w:val="20"/>
                <w:szCs w:val="20"/>
                <w:color w:val="auto"/>
              </w:rPr>
            </w:pPr>
            <w:r>
              <w:rPr>
                <w:rFonts w:ascii="Arial" w:cs="Arial" w:eastAsia="Arial" w:hAnsi="Arial"/>
                <w:sz w:val="16"/>
                <w:szCs w:val="16"/>
                <w:color w:val="auto"/>
              </w:rPr>
              <w:t>2025 to July 2025; President—Dominion Energy Virginia from October 2020 to December 2024;</w:t>
            </w:r>
          </w:p>
        </w:tc>
      </w:tr>
      <w:tr>
        <w:trPr>
          <w:trHeight w:val="189"/>
        </w:trPr>
        <w:tc>
          <w:tcPr>
            <w:tcW w:w="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940" w:type="dxa"/>
            <w:vAlign w:val="bottom"/>
          </w:tcPr>
          <w:p>
            <w:pPr>
              <w:ind w:left="60"/>
              <w:spacing w:after="0"/>
              <w:rPr>
                <w:sz w:val="20"/>
                <w:szCs w:val="20"/>
                <w:color w:val="auto"/>
              </w:rPr>
            </w:pPr>
            <w:r>
              <w:rPr>
                <w:rFonts w:ascii="Arial" w:cs="Arial" w:eastAsia="Arial" w:hAnsi="Arial"/>
                <w:sz w:val="16"/>
                <w:szCs w:val="16"/>
                <w:color w:val="auto"/>
              </w:rPr>
              <w:t>Senior Vice President—Power Delivery for Dominion Energy Virginia from 2019 to October</w:t>
            </w:r>
          </w:p>
        </w:tc>
      </w:tr>
      <w:tr>
        <w:trPr>
          <w:trHeight w:val="175"/>
        </w:trPr>
        <w:tc>
          <w:tcPr>
            <w:tcW w:w="1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940" w:type="dxa"/>
            <w:vAlign w:val="bottom"/>
          </w:tcPr>
          <w:p>
            <w:pPr>
              <w:ind w:left="60"/>
              <w:spacing w:after="0" w:line="175" w:lineRule="exact"/>
              <w:rPr>
                <w:sz w:val="20"/>
                <w:szCs w:val="20"/>
                <w:color w:val="auto"/>
              </w:rPr>
            </w:pPr>
            <w:r>
              <w:rPr>
                <w:rFonts w:ascii="Arial" w:cs="Arial" w:eastAsia="Arial" w:hAnsi="Arial"/>
                <w:sz w:val="16"/>
                <w:szCs w:val="16"/>
                <w:color w:val="auto"/>
              </w:rPr>
              <w:t>2020.</w:t>
            </w:r>
          </w:p>
        </w:tc>
      </w:tr>
      <w:tr>
        <w:trPr>
          <w:trHeight w:val="189"/>
        </w:trPr>
        <w:tc>
          <w:tcPr>
            <w:tcW w:w="1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380" w:type="dxa"/>
            <w:vAlign w:val="bottom"/>
          </w:tcPr>
          <w:p>
            <w:pPr>
              <w:ind w:left="280"/>
              <w:spacing w:after="0"/>
              <w:rPr>
                <w:sz w:val="20"/>
                <w:szCs w:val="20"/>
                <w:color w:val="auto"/>
              </w:rPr>
            </w:pPr>
            <w:r>
              <w:rPr>
                <w:rFonts w:ascii="Arial" w:cs="Arial" w:eastAsia="Arial" w:hAnsi="Arial"/>
                <w:sz w:val="16"/>
                <w:szCs w:val="16"/>
                <w:color w:val="2F8B9E"/>
              </w:rPr>
              <w:t>•</w:t>
            </w:r>
          </w:p>
        </w:tc>
        <w:tc>
          <w:tcPr>
            <w:tcW w:w="6940" w:type="dxa"/>
            <w:vAlign w:val="bottom"/>
          </w:tcPr>
          <w:p>
            <w:pPr>
              <w:ind w:left="60"/>
              <w:spacing w:after="0"/>
              <w:rPr>
                <w:sz w:val="20"/>
                <w:szCs w:val="20"/>
                <w:color w:val="auto"/>
              </w:rPr>
            </w:pPr>
            <w:r>
              <w:rPr>
                <w:rFonts w:ascii="Arial" w:cs="Arial" w:eastAsia="Arial" w:hAnsi="Arial"/>
                <w:sz w:val="16"/>
                <w:szCs w:val="16"/>
                <w:color w:val="auto"/>
              </w:rPr>
              <w:t>Serving on the boards of Dominion Energy South Carolina, Inc. (DESC) and Virginia Electric</w:t>
            </w:r>
          </w:p>
        </w:tc>
      </w:tr>
      <w:tr>
        <w:trPr>
          <w:trHeight w:val="205"/>
        </w:trPr>
        <w:tc>
          <w:tcPr>
            <w:tcW w:w="1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tcPr>
          <w:p>
            <w:pPr>
              <w:ind w:left="60"/>
              <w:spacing w:after="0"/>
              <w:rPr>
                <w:sz w:val="20"/>
                <w:szCs w:val="20"/>
                <w:color w:val="auto"/>
              </w:rPr>
            </w:pPr>
            <w:r>
              <w:rPr>
                <w:rFonts w:ascii="Arial" w:cs="Arial" w:eastAsia="Arial" w:hAnsi="Arial"/>
                <w:sz w:val="16"/>
                <w:szCs w:val="16"/>
                <w:color w:val="auto"/>
              </w:rPr>
              <w:t>and Power Company (VEPCO).</w:t>
            </w:r>
          </w:p>
        </w:tc>
      </w:tr>
    </w:tbl>
    <w:p>
      <w:pPr>
        <w:ind w:left="2980" w:right="60" w:hanging="159"/>
        <w:spacing w:after="0" w:line="265" w:lineRule="auto"/>
        <w:tabs>
          <w:tab w:leader="none" w:pos="2960" w:val="left"/>
        </w:tabs>
        <w:rPr>
          <w:sz w:val="20"/>
          <w:szCs w:val="20"/>
          <w:color w:val="auto"/>
        </w:rPr>
      </w:pPr>
      <w:r>
        <w:rPr>
          <w:rFonts w:ascii="Arial" w:cs="Arial" w:eastAsia="Arial" w:hAnsi="Arial"/>
          <w:sz w:val="16"/>
          <w:szCs w:val="16"/>
          <w:color w:val="2F8B9E"/>
        </w:rPr>
        <w:t>•</w:t>
      </w:r>
      <w:r>
        <w:rPr>
          <w:rFonts w:ascii="Arial" w:cs="Arial" w:eastAsia="Arial" w:hAnsi="Arial"/>
          <w:sz w:val="16"/>
          <w:szCs w:val="16"/>
          <w:color w:val="auto"/>
        </w:rPr>
        <w:tab/>
        <w:t>Over 30 years of both hands-on and leadership experience in the utility industry, an industry that represents a significant part of the Company’s overall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6300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1160" w:space="160"/>
            <w:col w:w="9920"/>
          </w:cols>
          <w:pgMar w:left="320" w:top="238" w:right="339" w:bottom="1440" w:gutter="0" w:footer="0" w:header="0"/>
          <w:type w:val="continuous"/>
        </w:sectPr>
      </w:pPr>
    </w:p>
    <w:p>
      <w:pPr>
        <w:jc w:val="both"/>
        <w:ind w:left="1320"/>
        <w:spacing w:after="0" w:line="253" w:lineRule="auto"/>
        <w:rPr>
          <w:sz w:val="20"/>
          <w:szCs w:val="20"/>
          <w:color w:val="auto"/>
        </w:rPr>
      </w:pPr>
      <w:r>
        <w:rPr>
          <w:rFonts w:ascii="Arial" w:cs="Arial" w:eastAsia="Arial" w:hAnsi="Arial"/>
          <w:sz w:val="16"/>
          <w:szCs w:val="16"/>
          <w:color w:val="auto"/>
        </w:rPr>
        <w:t>Mr. Baine has worked for Dominion Energy for over 30 years, a publicly traded electric and natural gas utility. Mr. Baine joined Dominion Energy in 1995 as an associate engineer. He was promoted to Vice President–Shared Services in 2009 and became Vice President– Power Generation Merchant Operations in 2012. He became Vice President–Power Generation System Operations in 2013 and Senior Vice President–Transmission &amp; Customer Service in 2015. In 2016, he was named Senior Vice President–Distribution, Power Delivery Group. He was named Senior Vice President–Power Delivery, Dominion Energy Virginia in 2019. He was named President–Dominion Energy Virginia in October 2020, and President–Utility Operations and Dominion Energy Virginia in early 2025. Mr. Baine became Executive Vice President–Utility Operations and Dominion Energy Virginia in July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71525" cy="77152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218440</wp:posOffset>
            </wp:positionV>
            <wp:extent cx="2691765" cy="274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691765" cy="274320"/>
                    </a:xfrm>
                    <a:prstGeom prst="rect">
                      <a:avLst/>
                    </a:prstGeom>
                    <a:noFill/>
                  </pic:spPr>
                </pic:pic>
              </a:graphicData>
            </a:graphic>
          </wp:anchor>
        </w:drawing>
      </w:r>
    </w:p>
    <w:p>
      <w:pPr>
        <w:spacing w:after="0" w:line="330" w:lineRule="exact"/>
        <w:rPr>
          <w:sz w:val="20"/>
          <w:szCs w:val="20"/>
          <w:color w:val="auto"/>
        </w:rPr>
      </w:pPr>
    </w:p>
    <w:p>
      <w:pPr>
        <w:ind w:left="1420"/>
        <w:spacing w:after="0"/>
        <w:rPr>
          <w:sz w:val="20"/>
          <w:szCs w:val="20"/>
          <w:color w:val="auto"/>
        </w:rPr>
      </w:pPr>
      <w:r>
        <w:rPr>
          <w:rFonts w:ascii="Arial" w:cs="Arial" w:eastAsia="Arial" w:hAnsi="Arial"/>
          <w:sz w:val="29"/>
          <w:szCs w:val="29"/>
          <w:b w:val="1"/>
          <w:bCs w:val="1"/>
          <w:color w:val="auto"/>
        </w:rPr>
        <w:t>Gerben W. Bakker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109855</wp:posOffset>
            </wp:positionV>
            <wp:extent cx="6240780" cy="17830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40780" cy="1783080"/>
                    </a:xfrm>
                    <a:prstGeom prst="rect">
                      <a:avLst/>
                    </a:prstGeom>
                    <a:noFill/>
                  </pic:spPr>
                </pic:pic>
              </a:graphicData>
            </a:graphic>
          </wp:anchor>
        </w:drawing>
      </w:r>
    </w:p>
    <w:p>
      <w:pPr>
        <w:spacing w:after="0" w:line="261" w:lineRule="exact"/>
        <w:rPr>
          <w:sz w:val="20"/>
          <w:szCs w:val="20"/>
          <w:color w:val="auto"/>
        </w:rPr>
      </w:pPr>
    </w:p>
    <w:p>
      <w:pPr>
        <w:ind w:left="1500"/>
        <w:spacing w:after="0"/>
        <w:tabs>
          <w:tab w:leader="none" w:pos="4140" w:val="left"/>
        </w:tabs>
        <w:rPr>
          <w:sz w:val="20"/>
          <w:szCs w:val="20"/>
          <w:color w:val="auto"/>
        </w:rPr>
      </w:pPr>
      <w:r>
        <w:rPr>
          <w:rFonts w:ascii="Arial" w:cs="Arial" w:eastAsia="Arial" w:hAnsi="Arial"/>
          <w:sz w:val="16"/>
          <w:szCs w:val="16"/>
          <w:b w:val="1"/>
          <w:bCs w:val="1"/>
          <w:color w:val="auto"/>
        </w:rPr>
        <w:t>COMMITTEE:</w:t>
      </w:r>
      <w:r>
        <w:rPr>
          <w:sz w:val="20"/>
          <w:szCs w:val="20"/>
          <w:color w:val="auto"/>
        </w:rPr>
        <w:tab/>
      </w:r>
      <w:r>
        <w:rPr>
          <w:rFonts w:ascii="Arial" w:cs="Arial" w:eastAsia="Arial" w:hAnsi="Arial"/>
          <w:sz w:val="16"/>
          <w:szCs w:val="16"/>
          <w:b w:val="1"/>
          <w:bCs w:val="1"/>
          <w:color w:val="auto"/>
        </w:rPr>
        <w:t>QUALIFICATIONS: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400" w:type="dxa"/>
            <w:vAlign w:val="bottom"/>
          </w:tcPr>
          <w:p>
            <w:pPr>
              <w:spacing w:after="0"/>
              <w:rPr>
                <w:sz w:val="18"/>
                <w:szCs w:val="18"/>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2F8B9E"/>
              </w:rPr>
              <w:t>•</w:t>
            </w:r>
          </w:p>
        </w:tc>
        <w:tc>
          <w:tcPr>
            <w:tcW w:w="2320" w:type="dxa"/>
            <w:vAlign w:val="bottom"/>
          </w:tcPr>
          <w:p>
            <w:pPr>
              <w:ind w:left="40"/>
              <w:spacing w:after="0"/>
              <w:rPr>
                <w:sz w:val="20"/>
                <w:szCs w:val="20"/>
                <w:color w:val="auto"/>
              </w:rPr>
            </w:pPr>
            <w:r>
              <w:rPr>
                <w:rFonts w:ascii="Arial" w:cs="Arial" w:eastAsia="Arial" w:hAnsi="Arial"/>
                <w:sz w:val="16"/>
                <w:szCs w:val="16"/>
                <w:color w:val="auto"/>
              </w:rPr>
              <w:t>Executive (Chair)</w:t>
            </w:r>
          </w:p>
        </w:tc>
        <w:tc>
          <w:tcPr>
            <w:tcW w:w="7260" w:type="dxa"/>
            <w:vAlign w:val="bottom"/>
            <w:gridSpan w:val="2"/>
            <w:vMerge w:val="restart"/>
          </w:tcPr>
          <w:p>
            <w:pPr>
              <w:ind w:left="240"/>
              <w:spacing w:after="0"/>
              <w:rPr>
                <w:sz w:val="20"/>
                <w:szCs w:val="20"/>
                <w:color w:val="auto"/>
              </w:rPr>
            </w:pPr>
            <w:r>
              <w:rPr>
                <w:rFonts w:ascii="Arial" w:cs="Arial" w:eastAsia="Arial" w:hAnsi="Arial"/>
                <w:sz w:val="16"/>
                <w:szCs w:val="16"/>
                <w:b w:val="1"/>
                <w:bCs w:val="1"/>
                <w:color w:val="auto"/>
              </w:rPr>
              <w:t>Mr. Bakker brings to the Board extensive financial, operational, and strategic planning</w:t>
            </w:r>
          </w:p>
        </w:tc>
        <w:tc>
          <w:tcPr>
            <w:tcW w:w="0" w:type="dxa"/>
            <w:vAlign w:val="bottom"/>
          </w:tcPr>
          <w:p>
            <w:pPr>
              <w:spacing w:after="0"/>
              <w:rPr>
                <w:sz w:val="1"/>
                <w:szCs w:val="1"/>
                <w:color w:val="auto"/>
              </w:rPr>
            </w:pPr>
          </w:p>
        </w:tc>
      </w:tr>
      <w:tr>
        <w:trPr>
          <w:trHeight w:val="147"/>
        </w:trPr>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0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tc>
        <w:tc>
          <w:tcPr>
            <w:tcW w:w="2520" w:type="dxa"/>
            <w:vAlign w:val="bottom"/>
            <w:gridSpan w:val="2"/>
          </w:tcPr>
          <w:p>
            <w:pPr>
              <w:ind w:left="100"/>
              <w:spacing w:after="0"/>
              <w:rPr>
                <w:sz w:val="20"/>
                <w:szCs w:val="20"/>
                <w:color w:val="auto"/>
              </w:rPr>
            </w:pPr>
            <w:r>
              <w:rPr>
                <w:rFonts w:ascii="Arial" w:cs="Arial" w:eastAsia="Arial" w:hAnsi="Arial"/>
                <w:sz w:val="16"/>
                <w:szCs w:val="16"/>
                <w:b w:val="1"/>
                <w:bCs w:val="1"/>
                <w:color w:val="auto"/>
              </w:rPr>
              <w:t>DIRECTORSHIP:</w:t>
            </w:r>
          </w:p>
        </w:tc>
        <w:tc>
          <w:tcPr>
            <w:tcW w:w="7260" w:type="dxa"/>
            <w:vAlign w:val="bottom"/>
            <w:gridSpan w:val="2"/>
          </w:tcPr>
          <w:p>
            <w:pPr>
              <w:ind w:left="240"/>
              <w:spacing w:after="0"/>
              <w:rPr>
                <w:sz w:val="20"/>
                <w:szCs w:val="20"/>
                <w:color w:val="auto"/>
              </w:rPr>
            </w:pPr>
            <w:r>
              <w:rPr>
                <w:rFonts w:ascii="Arial" w:cs="Arial" w:eastAsia="Arial" w:hAnsi="Arial"/>
                <w:sz w:val="16"/>
                <w:szCs w:val="16"/>
                <w:b w:val="1"/>
                <w:bCs w:val="1"/>
                <w:color w:val="auto"/>
              </w:rPr>
              <w:t>experience and a strong background in the manufacturing industry, including:</w:t>
            </w:r>
          </w:p>
        </w:tc>
        <w:tc>
          <w:tcPr>
            <w:tcW w:w="0" w:type="dxa"/>
            <w:vAlign w:val="bottom"/>
          </w:tcPr>
          <w:p>
            <w:pPr>
              <w:spacing w:after="0"/>
              <w:rPr>
                <w:sz w:val="1"/>
                <w:szCs w:val="1"/>
                <w:color w:val="auto"/>
              </w:rPr>
            </w:pPr>
          </w:p>
        </w:tc>
      </w:tr>
      <w:tr>
        <w:trPr>
          <w:trHeight w:val="142"/>
        </w:trPr>
        <w:tc>
          <w:tcPr>
            <w:tcW w:w="1400" w:type="dxa"/>
            <w:vAlign w:val="bottom"/>
            <w:vMerge w:val="continue"/>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Arial" w:cs="Arial" w:eastAsia="Arial" w:hAnsi="Arial"/>
                <w:sz w:val="16"/>
                <w:szCs w:val="16"/>
                <w:color w:val="2F8B9E"/>
              </w:rPr>
              <w:t>•</w:t>
            </w:r>
          </w:p>
        </w:tc>
        <w:tc>
          <w:tcPr>
            <w:tcW w:w="2320" w:type="dxa"/>
            <w:vAlign w:val="bottom"/>
            <w:vMerge w:val="restart"/>
          </w:tcPr>
          <w:p>
            <w:pPr>
              <w:ind w:left="40"/>
              <w:spacing w:after="0"/>
              <w:rPr>
                <w:sz w:val="20"/>
                <w:szCs w:val="20"/>
                <w:color w:val="auto"/>
              </w:rPr>
            </w:pPr>
            <w:r>
              <w:rPr>
                <w:rFonts w:ascii="Arial" w:cs="Arial" w:eastAsia="Arial" w:hAnsi="Arial"/>
                <w:sz w:val="16"/>
                <w:szCs w:val="16"/>
                <w:color w:val="auto"/>
              </w:rPr>
              <w:t>Regal Rexnord Corporation,</w:t>
            </w:r>
          </w:p>
        </w:tc>
        <w:tc>
          <w:tcPr>
            <w:tcW w:w="36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14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23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6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400" w:type="dxa"/>
            <w:vAlign w:val="bottom"/>
          </w:tcPr>
          <w:p>
            <w:pPr>
              <w:spacing w:after="0"/>
              <w:rPr>
                <w:sz w:val="20"/>
                <w:szCs w:val="20"/>
                <w:color w:val="auto"/>
              </w:rPr>
            </w:pPr>
            <w:r>
              <w:rPr>
                <w:rFonts w:ascii="Arial" w:cs="Arial" w:eastAsia="Arial" w:hAnsi="Arial"/>
                <w:sz w:val="16"/>
                <w:szCs w:val="16"/>
                <w:b w:val="1"/>
                <w:bCs w:val="1"/>
                <w:color w:val="auto"/>
              </w:rPr>
              <w:t>Director Since:</w:t>
            </w:r>
          </w:p>
        </w:tc>
        <w:tc>
          <w:tcPr>
            <w:tcW w:w="200" w:type="dxa"/>
            <w:vAlign w:val="bottom"/>
          </w:tcPr>
          <w:p>
            <w:pPr>
              <w:spacing w:after="0"/>
              <w:rPr>
                <w:sz w:val="16"/>
                <w:szCs w:val="16"/>
                <w:color w:val="auto"/>
              </w:rPr>
            </w:pPr>
          </w:p>
        </w:tc>
        <w:tc>
          <w:tcPr>
            <w:tcW w:w="2320" w:type="dxa"/>
            <w:vAlign w:val="bottom"/>
          </w:tcPr>
          <w:p>
            <w:pPr>
              <w:ind w:left="40"/>
              <w:spacing w:after="0"/>
              <w:rPr>
                <w:sz w:val="20"/>
                <w:szCs w:val="20"/>
                <w:color w:val="auto"/>
              </w:rPr>
            </w:pPr>
            <w:r>
              <w:rPr>
                <w:rFonts w:ascii="Arial" w:cs="Arial" w:eastAsia="Arial" w:hAnsi="Arial"/>
                <w:sz w:val="16"/>
                <w:szCs w:val="16"/>
                <w:color w:val="auto"/>
              </w:rPr>
              <w:t>since February 2025</w:t>
            </w:r>
          </w:p>
        </w:tc>
        <w:tc>
          <w:tcPr>
            <w:tcW w:w="360" w:type="dxa"/>
            <w:vAlign w:val="bottom"/>
          </w:tcPr>
          <w:p>
            <w:pPr>
              <w:ind w:left="240"/>
              <w:spacing w:after="0"/>
              <w:rPr>
                <w:sz w:val="20"/>
                <w:szCs w:val="20"/>
                <w:color w:val="auto"/>
              </w:rPr>
            </w:pPr>
            <w:r>
              <w:rPr>
                <w:rFonts w:ascii="Arial" w:cs="Arial" w:eastAsia="Arial" w:hAnsi="Arial"/>
                <w:sz w:val="16"/>
                <w:szCs w:val="16"/>
                <w:color w:val="2F8B9E"/>
              </w:rPr>
              <w:t>•</w:t>
            </w:r>
          </w:p>
        </w:tc>
        <w:tc>
          <w:tcPr>
            <w:tcW w:w="6900" w:type="dxa"/>
            <w:vAlign w:val="bottom"/>
          </w:tcPr>
          <w:p>
            <w:pPr>
              <w:ind w:left="40"/>
              <w:spacing w:after="0"/>
              <w:rPr>
                <w:sz w:val="20"/>
                <w:szCs w:val="20"/>
                <w:color w:val="auto"/>
              </w:rPr>
            </w:pPr>
            <w:r>
              <w:rPr>
                <w:rFonts w:ascii="Arial" w:cs="Arial" w:eastAsia="Arial" w:hAnsi="Arial"/>
                <w:sz w:val="16"/>
                <w:szCs w:val="16"/>
                <w:color w:val="auto"/>
              </w:rPr>
              <w:t>Served as Hubbell’s President and COO from June 2019 prior to his appointment to CEO in</w:t>
            </w:r>
          </w:p>
        </w:tc>
        <w:tc>
          <w:tcPr>
            <w:tcW w:w="0" w:type="dxa"/>
            <w:vAlign w:val="bottom"/>
          </w:tcPr>
          <w:p>
            <w:pPr>
              <w:spacing w:after="0"/>
              <w:rPr>
                <w:sz w:val="1"/>
                <w:szCs w:val="1"/>
                <w:color w:val="auto"/>
              </w:rPr>
            </w:pPr>
          </w:p>
        </w:tc>
      </w:tr>
      <w:tr>
        <w:trPr>
          <w:trHeight w:val="176"/>
        </w:trPr>
        <w:tc>
          <w:tcPr>
            <w:tcW w:w="1400" w:type="dxa"/>
            <w:vAlign w:val="bottom"/>
          </w:tcPr>
          <w:p>
            <w:pPr>
              <w:spacing w:after="0" w:line="176" w:lineRule="exact"/>
              <w:rPr>
                <w:sz w:val="20"/>
                <w:szCs w:val="20"/>
                <w:color w:val="auto"/>
              </w:rPr>
            </w:pPr>
            <w:r>
              <w:rPr>
                <w:rFonts w:ascii="Arial" w:cs="Arial" w:eastAsia="Arial" w:hAnsi="Arial"/>
                <w:sz w:val="16"/>
                <w:szCs w:val="16"/>
                <w:color w:val="auto"/>
              </w:rPr>
              <w:t>2020</w:t>
            </w:r>
          </w:p>
        </w:tc>
        <w:tc>
          <w:tcPr>
            <w:tcW w:w="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60" w:type="dxa"/>
            <w:vAlign w:val="bottom"/>
            <w:vMerge w:val="restart"/>
          </w:tcPr>
          <w:p>
            <w:pPr>
              <w:ind w:left="240"/>
              <w:spacing w:after="0"/>
              <w:rPr>
                <w:sz w:val="20"/>
                <w:szCs w:val="20"/>
                <w:color w:val="auto"/>
              </w:rPr>
            </w:pPr>
            <w:r>
              <w:rPr>
                <w:rFonts w:ascii="Arial" w:cs="Arial" w:eastAsia="Arial" w:hAnsi="Arial"/>
                <w:sz w:val="16"/>
                <w:szCs w:val="16"/>
                <w:color w:val="2F8B9E"/>
              </w:rPr>
              <w:t>•</w:t>
            </w:r>
          </w:p>
        </w:tc>
        <w:tc>
          <w:tcPr>
            <w:tcW w:w="6900" w:type="dxa"/>
            <w:vAlign w:val="bottom"/>
          </w:tcPr>
          <w:p>
            <w:pPr>
              <w:ind w:left="40"/>
              <w:spacing w:after="0" w:line="176" w:lineRule="exact"/>
              <w:rPr>
                <w:sz w:val="20"/>
                <w:szCs w:val="20"/>
                <w:color w:val="auto"/>
              </w:rPr>
            </w:pPr>
            <w:r>
              <w:rPr>
                <w:rFonts w:ascii="Arial" w:cs="Arial" w:eastAsia="Arial" w:hAnsi="Arial"/>
                <w:sz w:val="16"/>
                <w:szCs w:val="16"/>
                <w:color w:val="auto"/>
              </w:rPr>
              <w:t>October 2020.</w:t>
            </w:r>
          </w:p>
        </w:tc>
        <w:tc>
          <w:tcPr>
            <w:tcW w:w="0" w:type="dxa"/>
            <w:vAlign w:val="bottom"/>
          </w:tcPr>
          <w:p>
            <w:pPr>
              <w:spacing w:after="0"/>
              <w:rPr>
                <w:sz w:val="1"/>
                <w:szCs w:val="1"/>
                <w:color w:val="auto"/>
              </w:rPr>
            </w:pPr>
          </w:p>
        </w:tc>
      </w:tr>
      <w:tr>
        <w:trPr>
          <w:trHeight w:val="175"/>
        </w:trPr>
        <w:tc>
          <w:tcPr>
            <w:tcW w:w="1400" w:type="dxa"/>
            <w:vAlign w:val="bottom"/>
            <w:vMerge w:val="restart"/>
          </w:tcPr>
          <w:p>
            <w:pPr>
              <w:spacing w:after="0"/>
              <w:rPr>
                <w:sz w:val="20"/>
                <w:szCs w:val="20"/>
                <w:color w:val="auto"/>
              </w:rPr>
            </w:pPr>
            <w:r>
              <w:rPr>
                <w:rFonts w:ascii="Arial" w:cs="Arial" w:eastAsia="Arial" w:hAnsi="Arial"/>
                <w:sz w:val="16"/>
                <w:szCs w:val="16"/>
                <w:b w:val="1"/>
                <w:bCs w:val="1"/>
                <w:color w:val="auto"/>
              </w:rPr>
              <w:t>CHAIRMAN,</w:t>
            </w:r>
          </w:p>
        </w:tc>
        <w:tc>
          <w:tcPr>
            <w:tcW w:w="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6900" w:type="dxa"/>
            <w:vAlign w:val="bottom"/>
          </w:tcPr>
          <w:p>
            <w:pPr>
              <w:ind w:left="40"/>
              <w:spacing w:after="0" w:line="175" w:lineRule="exact"/>
              <w:rPr>
                <w:sz w:val="20"/>
                <w:szCs w:val="20"/>
                <w:color w:val="auto"/>
              </w:rPr>
            </w:pPr>
            <w:r>
              <w:rPr>
                <w:rFonts w:ascii="Arial" w:cs="Arial" w:eastAsia="Arial" w:hAnsi="Arial"/>
                <w:sz w:val="16"/>
                <w:szCs w:val="16"/>
                <w:color w:val="auto"/>
              </w:rPr>
              <w:t>Served as President of Hubbell Power Systems from 2014 until June 2019.</w:t>
            </w:r>
          </w:p>
        </w:tc>
        <w:tc>
          <w:tcPr>
            <w:tcW w:w="0" w:type="dxa"/>
            <w:vAlign w:val="bottom"/>
          </w:tcPr>
          <w:p>
            <w:pPr>
              <w:spacing w:after="0"/>
              <w:rPr>
                <w:sz w:val="1"/>
                <w:szCs w:val="1"/>
                <w:color w:val="auto"/>
              </w:rPr>
            </w:pPr>
          </w:p>
        </w:tc>
      </w:tr>
      <w:tr>
        <w:trPr>
          <w:trHeight w:val="163"/>
        </w:trPr>
        <w:tc>
          <w:tcPr>
            <w:tcW w:w="14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360" w:type="dxa"/>
            <w:vAlign w:val="bottom"/>
          </w:tcPr>
          <w:p>
            <w:pPr>
              <w:ind w:left="240"/>
              <w:spacing w:after="0" w:line="163" w:lineRule="exact"/>
              <w:rPr>
                <w:sz w:val="20"/>
                <w:szCs w:val="20"/>
                <w:color w:val="auto"/>
              </w:rPr>
            </w:pPr>
            <w:r>
              <w:rPr>
                <w:rFonts w:ascii="Arial" w:cs="Arial" w:eastAsia="Arial" w:hAnsi="Arial"/>
                <w:sz w:val="16"/>
                <w:szCs w:val="16"/>
                <w:color w:val="2F8B9E"/>
              </w:rPr>
              <w:t>•</w:t>
            </w:r>
          </w:p>
        </w:tc>
        <w:tc>
          <w:tcPr>
            <w:tcW w:w="6900" w:type="dxa"/>
            <w:vAlign w:val="bottom"/>
          </w:tcPr>
          <w:p>
            <w:pPr>
              <w:ind w:left="40"/>
              <w:spacing w:after="0" w:line="163" w:lineRule="exact"/>
              <w:rPr>
                <w:sz w:val="20"/>
                <w:szCs w:val="20"/>
                <w:color w:val="auto"/>
              </w:rPr>
            </w:pPr>
            <w:r>
              <w:rPr>
                <w:rFonts w:ascii="Arial" w:cs="Arial" w:eastAsia="Arial" w:hAnsi="Arial"/>
                <w:sz w:val="16"/>
                <w:szCs w:val="16"/>
                <w:color w:val="auto"/>
              </w:rPr>
              <w:t>As President of Hubbell Power Systems, Mr. Bakker oversaw a multi-year period of strong</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20"/>
                <w:szCs w:val="20"/>
                <w:color w:val="auto"/>
              </w:rPr>
            </w:pPr>
            <w:r>
              <w:rPr>
                <w:rFonts w:ascii="Arial" w:cs="Arial" w:eastAsia="Arial" w:hAnsi="Arial"/>
                <w:sz w:val="16"/>
                <w:szCs w:val="16"/>
                <w:b w:val="1"/>
                <w:bCs w:val="1"/>
                <w:color w:val="auto"/>
              </w:rPr>
              <w:t>PRESIDENT</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00" w:type="dxa"/>
            <w:vAlign w:val="bottom"/>
          </w:tcPr>
          <w:p>
            <w:pPr>
              <w:ind w:left="40"/>
              <w:spacing w:after="0"/>
              <w:rPr>
                <w:sz w:val="20"/>
                <w:szCs w:val="20"/>
                <w:color w:val="auto"/>
              </w:rPr>
            </w:pPr>
            <w:r>
              <w:rPr>
                <w:rFonts w:ascii="Arial" w:cs="Arial" w:eastAsia="Arial" w:hAnsi="Arial"/>
                <w:sz w:val="16"/>
                <w:szCs w:val="16"/>
                <w:color w:val="auto"/>
              </w:rPr>
              <w:t>performance and built an industry-leading electrical transmission and distribution components</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20"/>
                <w:szCs w:val="20"/>
                <w:color w:val="auto"/>
              </w:rPr>
            </w:pPr>
            <w:r>
              <w:rPr>
                <w:rFonts w:ascii="Arial" w:cs="Arial" w:eastAsia="Arial" w:hAnsi="Arial"/>
                <w:sz w:val="16"/>
                <w:szCs w:val="16"/>
                <w:b w:val="1"/>
                <w:bCs w:val="1"/>
                <w:color w:val="auto"/>
              </w:rPr>
              <w:t>AND CEO,</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900" w:type="dxa"/>
            <w:vAlign w:val="bottom"/>
          </w:tcPr>
          <w:p>
            <w:pPr>
              <w:ind w:left="40"/>
              <w:spacing w:after="0"/>
              <w:rPr>
                <w:sz w:val="20"/>
                <w:szCs w:val="20"/>
                <w:color w:val="auto"/>
              </w:rPr>
            </w:pPr>
            <w:r>
              <w:rPr>
                <w:rFonts w:ascii="Arial" w:cs="Arial" w:eastAsia="Arial" w:hAnsi="Arial"/>
                <w:sz w:val="16"/>
                <w:szCs w:val="16"/>
                <w:color w:val="auto"/>
              </w:rPr>
              <w:t>business.</w:t>
            </w:r>
          </w:p>
        </w:tc>
        <w:tc>
          <w:tcPr>
            <w:tcW w:w="0" w:type="dxa"/>
            <w:vAlign w:val="bottom"/>
          </w:tcPr>
          <w:p>
            <w:pPr>
              <w:spacing w:after="0"/>
              <w:rPr>
                <w:sz w:val="1"/>
                <w:szCs w:val="1"/>
                <w:color w:val="auto"/>
              </w:rPr>
            </w:pPr>
          </w:p>
        </w:tc>
      </w:tr>
      <w:tr>
        <w:trPr>
          <w:trHeight w:val="189"/>
        </w:trPr>
        <w:tc>
          <w:tcPr>
            <w:tcW w:w="1400" w:type="dxa"/>
            <w:vAlign w:val="bottom"/>
          </w:tcPr>
          <w:p>
            <w:pPr>
              <w:spacing w:after="0"/>
              <w:rPr>
                <w:sz w:val="20"/>
                <w:szCs w:val="20"/>
                <w:color w:val="auto"/>
              </w:rPr>
            </w:pPr>
            <w:r>
              <w:rPr>
                <w:rFonts w:ascii="Arial" w:cs="Arial" w:eastAsia="Arial" w:hAnsi="Arial"/>
                <w:sz w:val="16"/>
                <w:szCs w:val="16"/>
                <w:b w:val="1"/>
                <w:bCs w:val="1"/>
                <w:color w:val="auto"/>
              </w:rPr>
              <w:t>HUBBELL</w:t>
            </w:r>
          </w:p>
        </w:tc>
        <w:tc>
          <w:tcPr>
            <w:tcW w:w="2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60" w:type="dxa"/>
            <w:vAlign w:val="bottom"/>
          </w:tcPr>
          <w:p>
            <w:pPr>
              <w:ind w:left="240"/>
              <w:spacing w:after="0"/>
              <w:rPr>
                <w:sz w:val="20"/>
                <w:szCs w:val="20"/>
                <w:color w:val="auto"/>
              </w:rPr>
            </w:pPr>
            <w:r>
              <w:rPr>
                <w:rFonts w:ascii="Arial" w:cs="Arial" w:eastAsia="Arial" w:hAnsi="Arial"/>
                <w:sz w:val="16"/>
                <w:szCs w:val="16"/>
                <w:color w:val="2F8B9E"/>
              </w:rPr>
              <w:t>•</w:t>
            </w:r>
          </w:p>
        </w:tc>
        <w:tc>
          <w:tcPr>
            <w:tcW w:w="6900" w:type="dxa"/>
            <w:vAlign w:val="bottom"/>
          </w:tcPr>
          <w:p>
            <w:pPr>
              <w:ind w:left="40"/>
              <w:spacing w:after="0"/>
              <w:rPr>
                <w:sz w:val="20"/>
                <w:szCs w:val="20"/>
                <w:color w:val="auto"/>
              </w:rPr>
            </w:pPr>
            <w:r>
              <w:rPr>
                <w:rFonts w:ascii="Arial" w:cs="Arial" w:eastAsia="Arial" w:hAnsi="Arial"/>
                <w:sz w:val="16"/>
                <w:szCs w:val="16"/>
                <w:color w:val="auto"/>
              </w:rPr>
              <w:t>Membership on the Board of Regal Rexnord Corporation, a publicly traded manufacturer of</w:t>
            </w:r>
          </w:p>
        </w:tc>
        <w:tc>
          <w:tcPr>
            <w:tcW w:w="0" w:type="dxa"/>
            <w:vAlign w:val="bottom"/>
          </w:tcPr>
          <w:p>
            <w:pPr>
              <w:spacing w:after="0"/>
              <w:rPr>
                <w:sz w:val="1"/>
                <w:szCs w:val="1"/>
                <w:color w:val="auto"/>
              </w:rPr>
            </w:pPr>
          </w:p>
        </w:tc>
      </w:tr>
      <w:tr>
        <w:trPr>
          <w:trHeight w:val="202"/>
        </w:trPr>
        <w:tc>
          <w:tcPr>
            <w:tcW w:w="1400" w:type="dxa"/>
            <w:vAlign w:val="bottom"/>
          </w:tcPr>
          <w:p>
            <w:pPr>
              <w:spacing w:after="0"/>
              <w:rPr>
                <w:sz w:val="20"/>
                <w:szCs w:val="20"/>
                <w:color w:val="auto"/>
              </w:rPr>
            </w:pPr>
            <w:r>
              <w:rPr>
                <w:rFonts w:ascii="Arial" w:cs="Arial" w:eastAsia="Arial" w:hAnsi="Arial"/>
                <w:sz w:val="16"/>
                <w:szCs w:val="16"/>
                <w:b w:val="1"/>
                <w:bCs w:val="1"/>
                <w:color w:val="auto"/>
              </w:rPr>
              <w:t>INCORPORATED</w:t>
            </w:r>
          </w:p>
        </w:tc>
        <w:tc>
          <w:tcPr>
            <w:tcW w:w="2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900" w:type="dxa"/>
            <w:vAlign w:val="bottom"/>
          </w:tcPr>
          <w:p>
            <w:pPr>
              <w:ind w:left="40"/>
              <w:spacing w:after="0"/>
              <w:rPr>
                <w:sz w:val="20"/>
                <w:szCs w:val="20"/>
                <w:color w:val="auto"/>
              </w:rPr>
            </w:pPr>
            <w:r>
              <w:rPr>
                <w:rFonts w:ascii="Arial" w:cs="Arial" w:eastAsia="Arial" w:hAnsi="Arial"/>
                <w:sz w:val="16"/>
                <w:szCs w:val="16"/>
                <w:color w:val="auto"/>
              </w:rPr>
              <w:t>power transmission components and subsystems.</w:t>
            </w:r>
          </w:p>
        </w:tc>
        <w:tc>
          <w:tcPr>
            <w:tcW w:w="0" w:type="dxa"/>
            <w:vAlign w:val="bottom"/>
          </w:tcPr>
          <w:p>
            <w:pPr>
              <w:spacing w:after="0"/>
              <w:rPr>
                <w:sz w:val="1"/>
                <w:szCs w:val="1"/>
                <w:color w:val="auto"/>
              </w:rPr>
            </w:pPr>
          </w:p>
        </w:tc>
      </w:tr>
      <w:tr>
        <w:trPr>
          <w:trHeight w:val="228"/>
        </w:trPr>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60" w:type="dxa"/>
            <w:vAlign w:val="bottom"/>
          </w:tcPr>
          <w:p>
            <w:pPr>
              <w:ind w:left="240"/>
              <w:spacing w:after="0"/>
              <w:rPr>
                <w:sz w:val="20"/>
                <w:szCs w:val="20"/>
                <w:color w:val="auto"/>
              </w:rPr>
            </w:pPr>
            <w:r>
              <w:rPr>
                <w:rFonts w:ascii="Arial" w:cs="Arial" w:eastAsia="Arial" w:hAnsi="Arial"/>
                <w:sz w:val="16"/>
                <w:szCs w:val="16"/>
                <w:color w:val="2F8B9E"/>
              </w:rPr>
              <w:t>•</w:t>
            </w:r>
          </w:p>
        </w:tc>
        <w:tc>
          <w:tcPr>
            <w:tcW w:w="6900" w:type="dxa"/>
            <w:vAlign w:val="bottom"/>
          </w:tcPr>
          <w:p>
            <w:pPr>
              <w:ind w:left="40"/>
              <w:spacing w:after="0"/>
              <w:rPr>
                <w:sz w:val="20"/>
                <w:szCs w:val="20"/>
                <w:color w:val="auto"/>
              </w:rPr>
            </w:pPr>
            <w:r>
              <w:rPr>
                <w:rFonts w:ascii="Arial" w:cs="Arial" w:eastAsia="Arial" w:hAnsi="Arial"/>
                <w:sz w:val="16"/>
                <w:szCs w:val="16"/>
                <w:color w:val="auto"/>
              </w:rPr>
              <w:t>Member of the Board of Trustees of Manufacturers Alliance.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35560</wp:posOffset>
            </wp:positionV>
            <wp:extent cx="62407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89" w:lineRule="exact"/>
        <w:rPr>
          <w:sz w:val="20"/>
          <w:szCs w:val="20"/>
          <w:color w:val="auto"/>
        </w:rPr>
      </w:pPr>
    </w:p>
    <w:p>
      <w:pPr>
        <w:jc w:val="both"/>
        <w:ind w:left="1420"/>
        <w:spacing w:after="0" w:line="259" w:lineRule="auto"/>
        <w:rPr>
          <w:sz w:val="20"/>
          <w:szCs w:val="20"/>
          <w:color w:val="auto"/>
        </w:rPr>
      </w:pPr>
      <w:r>
        <w:rPr>
          <w:rFonts w:ascii="Arial" w:cs="Arial" w:eastAsia="Arial" w:hAnsi="Arial"/>
          <w:sz w:val="16"/>
          <w:szCs w:val="16"/>
          <w:color w:val="auto"/>
        </w:rPr>
        <w:t>Mr. Bakker has served as Chairman, President and Chief Executive Officer of Hubbell since May 2021 and President and Chief Executive Officer and a Director of Hubbell since October 2020. Previously, he served as Hubbell’s President and Chief Operating Officer from June 2019 to October 2020. He served as President of Hubbell Power Systems from 2014 until June 2019. Mr. Bakker began his career with Hubbell in 1988 as a manufacturing engineer with Hubbell Wiring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147320</wp:posOffset>
            </wp:positionV>
            <wp:extent cx="265430" cy="2743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65430" cy="27432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147320</wp:posOffset>
            </wp:positionV>
            <wp:extent cx="283210" cy="29146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83210" cy="29146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147320</wp:posOffset>
            </wp:positionV>
            <wp:extent cx="274320" cy="2743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147320</wp:posOffset>
            </wp:positionV>
            <wp:extent cx="274320" cy="274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147320</wp:posOffset>
            </wp:positionV>
            <wp:extent cx="282575" cy="2825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147320</wp:posOffset>
            </wp:positionV>
            <wp:extent cx="282575" cy="2825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147320</wp:posOffset>
            </wp:positionV>
            <wp:extent cx="265430" cy="26606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147320</wp:posOffset>
            </wp:positionV>
            <wp:extent cx="274320" cy="2743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PUBLIC COMPANY</w:t>
            </w:r>
          </w:p>
        </w:tc>
        <w:tc>
          <w:tcPr>
            <w:tcW w:w="2160" w:type="dxa"/>
            <w:vAlign w:val="bottom"/>
          </w:tcPr>
          <w:p>
            <w:pPr>
              <w:jc w:val="center"/>
              <w:ind w:right="88"/>
              <w:spacing w:after="0"/>
              <w:rPr>
                <w:sz w:val="20"/>
                <w:szCs w:val="20"/>
                <w:color w:val="auto"/>
              </w:rPr>
            </w:pPr>
            <w:r>
              <w:rPr>
                <w:rFonts w:ascii="Arial" w:cs="Arial" w:eastAsia="Arial" w:hAnsi="Arial"/>
                <w:sz w:val="14"/>
                <w:szCs w:val="14"/>
                <w:b w:val="1"/>
                <w:bCs w:val="1"/>
                <w:color w:val="auto"/>
              </w:rPr>
              <w:t>BUSINESS DEVELOPMENT</w:t>
            </w: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CEO</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CYBERSECURITY</w:t>
            </w: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rPr>
              <w:t>FINANCIAL</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GLOBAL</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auto"/>
              </w:rPr>
              <w:t>MANUFACTURING  RISK MANAGEMENT</w:t>
            </w:r>
          </w:p>
        </w:tc>
      </w:tr>
      <w:tr>
        <w:trPr>
          <w:trHeight w:val="196"/>
        </w:trPr>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rPr>
              <w:t>BOARD</w:t>
            </w:r>
          </w:p>
        </w:tc>
        <w:tc>
          <w:tcPr>
            <w:tcW w:w="2160" w:type="dxa"/>
            <w:vAlign w:val="bottom"/>
          </w:tcPr>
          <w:p>
            <w:pPr>
              <w:jc w:val="center"/>
              <w:ind w:right="88"/>
              <w:spacing w:after="0"/>
              <w:rPr>
                <w:sz w:val="20"/>
                <w:szCs w:val="20"/>
                <w:color w:val="auto"/>
              </w:rPr>
            </w:pPr>
            <w:r>
              <w:rPr>
                <w:rFonts w:ascii="Arial" w:cs="Arial" w:eastAsia="Arial" w:hAnsi="Arial"/>
                <w:sz w:val="14"/>
                <w:szCs w:val="14"/>
                <w:b w:val="1"/>
                <w:bCs w:val="1"/>
                <w:color w:val="auto"/>
              </w:rPr>
              <w:t>AND STRATEGY</w:t>
            </w:r>
          </w:p>
        </w:tc>
        <w:tc>
          <w:tcPr>
            <w:tcW w:w="760" w:type="dxa"/>
            <w:vAlign w:val="bottom"/>
          </w:tcPr>
          <w:p>
            <w:pPr>
              <w:spacing w:after="0"/>
              <w:rPr>
                <w:sz w:val="17"/>
                <w:szCs w:val="17"/>
                <w:color w:val="auto"/>
              </w:rPr>
            </w:pP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AND TECHNOLOGY</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372"/>
        </w:trPr>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17</w:t>
            </w:r>
          </w:p>
        </w:tc>
      </w:tr>
      <w:tr>
        <w:trPr>
          <w:trHeight w:val="258"/>
        </w:trPr>
        <w:tc>
          <w:tcPr>
            <w:tcW w:w="1400" w:type="dxa"/>
            <w:vAlign w:val="bottom"/>
            <w:tcBorders>
              <w:bottom w:val="single" w:sz="8" w:color="C0C0C0"/>
            </w:tcBorders>
          </w:tcPr>
          <w:p>
            <w:pPr>
              <w:spacing w:after="0"/>
              <w:rPr>
                <w:sz w:val="22"/>
                <w:szCs w:val="22"/>
                <w:color w:val="auto"/>
              </w:rPr>
            </w:pPr>
          </w:p>
        </w:tc>
        <w:tc>
          <w:tcPr>
            <w:tcW w:w="2160" w:type="dxa"/>
            <w:vAlign w:val="bottom"/>
            <w:tcBorders>
              <w:bottom w:val="single" w:sz="8" w:color="C0C0C0"/>
            </w:tcBorders>
          </w:tcPr>
          <w:p>
            <w:pPr>
              <w:spacing w:after="0"/>
              <w:rPr>
                <w:sz w:val="22"/>
                <w:szCs w:val="22"/>
                <w:color w:val="auto"/>
              </w:rPr>
            </w:pPr>
          </w:p>
        </w:tc>
        <w:tc>
          <w:tcPr>
            <w:tcW w:w="760" w:type="dxa"/>
            <w:vAlign w:val="bottom"/>
            <w:tcBorders>
              <w:bottom w:val="single" w:sz="8" w:color="C0C0C0"/>
            </w:tcBorders>
          </w:tcPr>
          <w:p>
            <w:pPr>
              <w:spacing w:after="0"/>
              <w:rPr>
                <w:sz w:val="22"/>
                <w:szCs w:val="22"/>
                <w:color w:val="auto"/>
              </w:rPr>
            </w:pPr>
          </w:p>
        </w:tc>
        <w:tc>
          <w:tcPr>
            <w:tcW w:w="1720" w:type="dxa"/>
            <w:vAlign w:val="bottom"/>
            <w:tcBorders>
              <w:bottom w:val="single" w:sz="8" w:color="C0C0C0"/>
            </w:tcBorders>
          </w:tcPr>
          <w:p>
            <w:pPr>
              <w:spacing w:after="0"/>
              <w:rPr>
                <w:sz w:val="22"/>
                <w:szCs w:val="22"/>
                <w:color w:val="auto"/>
              </w:rPr>
            </w:pPr>
          </w:p>
        </w:tc>
        <w:tc>
          <w:tcPr>
            <w:tcW w:w="116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238"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7715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118110</wp:posOffset>
            </wp:positionV>
            <wp:extent cx="2691765" cy="274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691765" cy="274320"/>
                    </a:xfrm>
                    <a:prstGeom prst="rect">
                      <a:avLst/>
                    </a:prstGeom>
                    <a:noFill/>
                  </pic:spPr>
                </pic:pic>
              </a:graphicData>
            </a:graphic>
          </wp:anchor>
        </w:drawing>
      </w:r>
    </w:p>
    <w:p>
      <w:pPr>
        <w:spacing w:after="0" w:line="172" w:lineRule="exact"/>
        <w:rPr>
          <w:sz w:val="20"/>
          <w:szCs w:val="20"/>
          <w:color w:val="auto"/>
        </w:rPr>
      </w:pPr>
    </w:p>
    <w:p>
      <w:pPr>
        <w:jc w:val="right"/>
        <w:ind w:right="7380"/>
        <w:spacing w:after="0"/>
        <w:rPr>
          <w:sz w:val="20"/>
          <w:szCs w:val="20"/>
          <w:color w:val="auto"/>
        </w:rPr>
      </w:pPr>
      <w:r>
        <w:rPr>
          <w:rFonts w:ascii="Arial" w:cs="Arial" w:eastAsia="Arial" w:hAnsi="Arial"/>
          <w:sz w:val="29"/>
          <w:szCs w:val="29"/>
          <w:b w:val="1"/>
          <w:bCs w:val="1"/>
          <w:color w:val="auto"/>
        </w:rPr>
        <w:t>Carlos M. Cardoso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118745</wp:posOffset>
            </wp:positionV>
            <wp:extent cx="6300470" cy="1560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00470" cy="15601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68</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2013</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tabs>
          <w:tab w:leader="none" w:pos="2720" w:val="left"/>
        </w:tabs>
        <w:rPr>
          <w:sz w:val="20"/>
          <w:szCs w:val="20"/>
          <w:color w:val="auto"/>
        </w:rPr>
      </w:pPr>
      <w:r>
        <w:rPr>
          <w:rFonts w:ascii="Arial" w:cs="Arial" w:eastAsia="Arial" w:hAnsi="Arial"/>
          <w:sz w:val="16"/>
          <w:szCs w:val="16"/>
          <w:b w:val="1"/>
          <w:bCs w:val="1"/>
          <w:color w:val="auto"/>
        </w:rPr>
        <w:t>COMMITTEES:</w:t>
      </w:r>
      <w:r>
        <w:rPr>
          <w:sz w:val="20"/>
          <w:szCs w:val="20"/>
          <w:color w:val="auto"/>
        </w:rPr>
        <w:tab/>
      </w: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160" w:hanging="153"/>
        <w:spacing w:after="0"/>
        <w:tabs>
          <w:tab w:leader="none" w:pos="160" w:val="left"/>
        </w:tabs>
        <w:numPr>
          <w:ilvl w:val="0"/>
          <w:numId w:val="7"/>
        </w:numPr>
        <w:rPr>
          <w:rFonts w:ascii="Arial" w:cs="Arial" w:eastAsia="Arial" w:hAnsi="Arial"/>
          <w:sz w:val="16"/>
          <w:szCs w:val="16"/>
          <w:color w:val="2F8B9E"/>
        </w:rPr>
      </w:pPr>
      <w:r>
        <w:rPr>
          <w:rFonts w:ascii="Arial" w:cs="Arial" w:eastAsia="Arial" w:hAnsi="Arial"/>
          <w:sz w:val="16"/>
          <w:szCs w:val="16"/>
          <w:color w:val="auto"/>
        </w:rPr>
        <w:t>Compensation (Chair)</w:t>
      </w:r>
    </w:p>
    <w:p>
      <w:pPr>
        <w:spacing w:after="0" w:line="5" w:lineRule="exact"/>
        <w:rPr>
          <w:sz w:val="20"/>
          <w:szCs w:val="20"/>
          <w:color w:val="auto"/>
        </w:rPr>
      </w:pPr>
    </w:p>
    <w:p>
      <w:pPr>
        <w:spacing w:after="0"/>
        <w:tabs>
          <w:tab w:leader="none" w:pos="2720" w:val="left"/>
        </w:tabs>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Executive</w:t>
      </w:r>
      <w:r>
        <w:rPr>
          <w:sz w:val="20"/>
          <w:szCs w:val="20"/>
          <w:color w:val="auto"/>
        </w:rPr>
        <w:tab/>
      </w:r>
      <w:r>
        <w:rPr>
          <w:rFonts w:ascii="Arial" w:cs="Arial" w:eastAsia="Arial" w:hAnsi="Arial"/>
          <w:sz w:val="16"/>
          <w:szCs w:val="16"/>
          <w:b w:val="1"/>
          <w:bCs w:val="1"/>
          <w:color w:val="auto"/>
        </w:rPr>
        <w:t>Mr. Cardoso brings to the Board CEO, COO, industrial manufacturing, leadership in global</w:t>
      </w:r>
    </w:p>
    <w:p>
      <w:pPr>
        <w:spacing w:after="0" w:line="5" w:lineRule="exact"/>
        <w:rPr>
          <w:sz w:val="20"/>
          <w:szCs w:val="20"/>
          <w:color w:val="auto"/>
        </w:rPr>
      </w:pPr>
    </w:p>
    <w:p>
      <w:pPr>
        <w:spacing w:after="0"/>
        <w:tabs>
          <w:tab w:leader="none" w:pos="2720" w:val="left"/>
        </w:tabs>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Nominating and Corporate</w:t>
      </w:r>
      <w:r>
        <w:rPr>
          <w:sz w:val="20"/>
          <w:szCs w:val="20"/>
          <w:color w:val="auto"/>
        </w:rPr>
        <w:tab/>
      </w:r>
      <w:r>
        <w:rPr>
          <w:rFonts w:ascii="Arial" w:cs="Arial" w:eastAsia="Arial" w:hAnsi="Arial"/>
          <w:sz w:val="16"/>
          <w:szCs w:val="16"/>
          <w:b w:val="1"/>
          <w:bCs w:val="1"/>
          <w:color w:val="auto"/>
        </w:rPr>
        <w:t>businesses, and public company board experience, including:</w:t>
      </w:r>
    </w:p>
    <w:p>
      <w:pPr>
        <w:spacing w:after="0" w:line="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Governance</w:t>
      </w:r>
    </w:p>
    <w:p>
      <w:pPr>
        <w:spacing w:after="0" w:line="5" w:lineRule="exact"/>
        <w:rPr>
          <w:sz w:val="20"/>
          <w:szCs w:val="20"/>
          <w:color w:val="auto"/>
        </w:rPr>
      </w:pPr>
    </w:p>
    <w:p>
      <w:pPr>
        <w:ind w:left="2900" w:hanging="161"/>
        <w:spacing w:after="0"/>
        <w:tabs>
          <w:tab w:leader="none" w:pos="2900" w:val="left"/>
        </w:tabs>
        <w:numPr>
          <w:ilvl w:val="0"/>
          <w:numId w:val="8"/>
        </w:numPr>
        <w:rPr>
          <w:rFonts w:ascii="Arial" w:cs="Arial" w:eastAsia="Arial" w:hAnsi="Arial"/>
          <w:sz w:val="16"/>
          <w:szCs w:val="16"/>
          <w:color w:val="2F8B9E"/>
        </w:rPr>
      </w:pPr>
      <w:r>
        <w:rPr>
          <w:rFonts w:ascii="Arial" w:cs="Arial" w:eastAsia="Arial" w:hAnsi="Arial"/>
          <w:sz w:val="16"/>
          <w:szCs w:val="16"/>
          <w:color w:val="auto"/>
        </w:rPr>
        <w:t>Significant manufacturing and operations experience having served as President of the Pump</w:t>
      </w:r>
    </w:p>
    <w:p>
      <w:pPr>
        <w:spacing w:after="0" w:line="5" w:lineRule="exact"/>
        <w:rPr>
          <w:rFonts w:ascii="Arial" w:cs="Arial" w:eastAsia="Arial" w:hAnsi="Arial"/>
          <w:sz w:val="16"/>
          <w:szCs w:val="16"/>
          <w:color w:val="2F8B9E"/>
        </w:rPr>
      </w:pPr>
    </w:p>
    <w:p>
      <w:pPr>
        <w:spacing w:after="0"/>
        <w:rPr>
          <w:rFonts w:ascii="Arial" w:cs="Arial" w:eastAsia="Arial" w:hAnsi="Arial"/>
          <w:sz w:val="16"/>
          <w:szCs w:val="16"/>
          <w:color w:val="2F8B9E"/>
        </w:rPr>
      </w:pPr>
      <w:r>
        <w:rPr>
          <w:rFonts w:ascii="Arial" w:cs="Arial" w:eastAsia="Arial" w:hAnsi="Arial"/>
          <w:sz w:val="16"/>
          <w:szCs w:val="16"/>
          <w:b w:val="1"/>
          <w:bCs w:val="1"/>
          <w:color w:val="auto"/>
        </w:rPr>
        <w:t>PRIOR DIRECTORSHIPS:</w:t>
      </w:r>
      <w:r>
        <w:rPr>
          <w:rFonts w:ascii="Arial" w:cs="Arial" w:eastAsia="Arial" w:hAnsi="Arial"/>
          <w:sz w:val="16"/>
          <w:szCs w:val="16"/>
          <w:color w:val="auto"/>
        </w:rPr>
        <w:t>Division of Flowserve Corporation, a manufacturer/provider of flow management products and</w:t>
      </w:r>
    </w:p>
    <w:tbl>
      <w:tblPr>
        <w:tblLayout w:type="fixed"/>
        <w:tblInd w:w="0" w:type="dxa"/>
        <w:tblCellMar>
          <w:top w:w="0" w:type="dxa"/>
          <w:left w:w="0" w:type="dxa"/>
          <w:bottom w:w="0" w:type="dxa"/>
          <w:right w:w="0" w:type="dxa"/>
        </w:tblCellMar>
      </w:tblPr>
      <w:tr>
        <w:trPr>
          <w:trHeight w:val="178"/>
        </w:trPr>
        <w:tc>
          <w:tcPr>
            <w:tcW w:w="100" w:type="dxa"/>
            <w:vAlign w:val="bottom"/>
          </w:tcPr>
          <w:p>
            <w:pPr>
              <w:spacing w:after="0" w:line="178" w:lineRule="exact"/>
              <w:rPr>
                <w:sz w:val="20"/>
                <w:szCs w:val="20"/>
                <w:color w:val="auto"/>
              </w:rPr>
            </w:pPr>
            <w:r>
              <w:rPr>
                <w:rFonts w:ascii="Arial" w:cs="Arial" w:eastAsia="Arial" w:hAnsi="Arial"/>
                <w:sz w:val="16"/>
                <w:szCs w:val="16"/>
                <w:color w:val="2F8B9E"/>
              </w:rPr>
              <w:t>•</w:t>
            </w:r>
          </w:p>
        </w:tc>
        <w:tc>
          <w:tcPr>
            <w:tcW w:w="2540" w:type="dxa"/>
            <w:vAlign w:val="bottom"/>
          </w:tcPr>
          <w:p>
            <w:pPr>
              <w:ind w:left="60"/>
              <w:spacing w:after="0" w:line="178" w:lineRule="exact"/>
              <w:rPr>
                <w:sz w:val="20"/>
                <w:szCs w:val="20"/>
                <w:color w:val="auto"/>
              </w:rPr>
            </w:pPr>
            <w:r>
              <w:rPr>
                <w:rFonts w:ascii="Arial" w:cs="Arial" w:eastAsia="Arial" w:hAnsi="Arial"/>
                <w:sz w:val="16"/>
                <w:szCs w:val="16"/>
                <w:color w:val="auto"/>
              </w:rPr>
              <w:t>Freudenberg Group, 2021 - 2025</w:t>
            </w:r>
          </w:p>
        </w:tc>
        <w:tc>
          <w:tcPr>
            <w:tcW w:w="7140" w:type="dxa"/>
            <w:vAlign w:val="bottom"/>
          </w:tcPr>
          <w:p>
            <w:pPr>
              <w:ind w:left="260"/>
              <w:spacing w:after="0" w:line="178" w:lineRule="exact"/>
              <w:rPr>
                <w:sz w:val="20"/>
                <w:szCs w:val="20"/>
                <w:color w:val="auto"/>
              </w:rPr>
            </w:pPr>
            <w:r>
              <w:rPr>
                <w:rFonts w:ascii="Arial" w:cs="Arial" w:eastAsia="Arial" w:hAnsi="Arial"/>
                <w:sz w:val="16"/>
                <w:szCs w:val="16"/>
                <w:color w:val="auto"/>
              </w:rPr>
              <w:t>services;  Vice  President  and  General  Manager,  Engine  Systems  and  Accessories,  for</w:t>
            </w: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F8B9E"/>
              </w:rPr>
              <w:t>•</w:t>
            </w:r>
          </w:p>
        </w:tc>
        <w:tc>
          <w:tcPr>
            <w:tcW w:w="2540" w:type="dxa"/>
            <w:vAlign w:val="bottom"/>
          </w:tcPr>
          <w:p>
            <w:pPr>
              <w:ind w:left="60"/>
              <w:spacing w:after="0"/>
              <w:rPr>
                <w:sz w:val="20"/>
                <w:szCs w:val="20"/>
                <w:color w:val="auto"/>
              </w:rPr>
            </w:pPr>
            <w:r>
              <w:rPr>
                <w:rFonts w:ascii="Arial" w:cs="Arial" w:eastAsia="Arial" w:hAnsi="Arial"/>
                <w:sz w:val="16"/>
                <w:szCs w:val="16"/>
                <w:color w:val="auto"/>
              </w:rPr>
              <w:t>Garrett Motion Inc., 2018 - April</w:t>
            </w:r>
          </w:p>
        </w:tc>
        <w:tc>
          <w:tcPr>
            <w:tcW w:w="7140" w:type="dxa"/>
            <w:vAlign w:val="bottom"/>
          </w:tcPr>
          <w:p>
            <w:pPr>
              <w:ind w:left="260"/>
              <w:spacing w:after="0"/>
              <w:rPr>
                <w:sz w:val="20"/>
                <w:szCs w:val="20"/>
                <w:color w:val="auto"/>
              </w:rPr>
            </w:pPr>
            <w:r>
              <w:rPr>
                <w:rFonts w:ascii="Arial" w:cs="Arial" w:eastAsia="Arial" w:hAnsi="Arial"/>
                <w:sz w:val="16"/>
                <w:szCs w:val="16"/>
                <w:color w:val="auto"/>
              </w:rPr>
              <w:t>Honeywell International, Inc., a technology and manufacturing company; and Vice President</w:t>
            </w:r>
          </w:p>
        </w:tc>
      </w:tr>
      <w:tr>
        <w:trPr>
          <w:trHeight w:val="176"/>
        </w:trPr>
        <w:tc>
          <w:tcPr>
            <w:tcW w:w="100" w:type="dxa"/>
            <w:vAlign w:val="bottom"/>
          </w:tcPr>
          <w:p>
            <w:pPr>
              <w:spacing w:after="0"/>
              <w:rPr>
                <w:sz w:val="15"/>
                <w:szCs w:val="15"/>
                <w:color w:val="auto"/>
              </w:rPr>
            </w:pPr>
          </w:p>
        </w:tc>
        <w:tc>
          <w:tcPr>
            <w:tcW w:w="2540" w:type="dxa"/>
            <w:vAlign w:val="bottom"/>
          </w:tcPr>
          <w:p>
            <w:pPr>
              <w:ind w:left="60"/>
              <w:spacing w:after="0" w:line="175" w:lineRule="exact"/>
              <w:rPr>
                <w:sz w:val="20"/>
                <w:szCs w:val="20"/>
                <w:color w:val="auto"/>
              </w:rPr>
            </w:pPr>
            <w:r>
              <w:rPr>
                <w:rFonts w:ascii="Arial" w:cs="Arial" w:eastAsia="Arial" w:hAnsi="Arial"/>
                <w:sz w:val="16"/>
                <w:szCs w:val="16"/>
                <w:color w:val="auto"/>
              </w:rPr>
              <w:t>2021</w:t>
            </w:r>
          </w:p>
        </w:tc>
        <w:tc>
          <w:tcPr>
            <w:tcW w:w="7140" w:type="dxa"/>
            <w:vAlign w:val="bottom"/>
          </w:tcPr>
          <w:p>
            <w:pPr>
              <w:ind w:left="260"/>
              <w:spacing w:after="0" w:line="175" w:lineRule="exact"/>
              <w:rPr>
                <w:sz w:val="20"/>
                <w:szCs w:val="20"/>
                <w:color w:val="auto"/>
              </w:rPr>
            </w:pPr>
            <w:r>
              <w:rPr>
                <w:rFonts w:ascii="Arial" w:cs="Arial" w:eastAsia="Arial" w:hAnsi="Arial"/>
                <w:sz w:val="16"/>
                <w:szCs w:val="16"/>
                <w:color w:val="auto"/>
              </w:rPr>
              <w:t>Manufacturing Operations for Colt’s Manufacturing Company, LLC, a maker of firearms.</w:t>
            </w: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F8B9E"/>
              </w:rPr>
              <w:t>•</w:t>
            </w:r>
          </w:p>
        </w:tc>
        <w:tc>
          <w:tcPr>
            <w:tcW w:w="2540" w:type="dxa"/>
            <w:vAlign w:val="bottom"/>
          </w:tcPr>
          <w:p>
            <w:pPr>
              <w:ind w:left="60"/>
              <w:spacing w:after="0"/>
              <w:rPr>
                <w:sz w:val="20"/>
                <w:szCs w:val="20"/>
                <w:color w:val="auto"/>
              </w:rPr>
            </w:pPr>
            <w:r>
              <w:rPr>
                <w:rFonts w:ascii="Arial" w:cs="Arial" w:eastAsia="Arial" w:hAnsi="Arial"/>
                <w:sz w:val="16"/>
                <w:szCs w:val="16"/>
                <w:color w:val="auto"/>
              </w:rPr>
              <w:t>Stanley Black &amp; Decker, Inc.,</w:t>
            </w:r>
          </w:p>
        </w:tc>
        <w:tc>
          <w:tcPr>
            <w:tcW w:w="7140" w:type="dxa"/>
            <w:vAlign w:val="bottom"/>
          </w:tcPr>
          <w:p>
            <w:pPr>
              <w:ind w:left="100"/>
              <w:spacing w:after="0"/>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Formerly served as Chairman of the Board of Garrett Motion Inc., a public company and a</w:t>
            </w:r>
          </w:p>
        </w:tc>
      </w:tr>
      <w:tr>
        <w:trPr>
          <w:trHeight w:val="228"/>
        </w:trPr>
        <w:tc>
          <w:tcPr>
            <w:tcW w:w="100" w:type="dxa"/>
            <w:vAlign w:val="bottom"/>
          </w:tcPr>
          <w:p>
            <w:pPr>
              <w:spacing w:after="0"/>
              <w:rPr>
                <w:sz w:val="19"/>
                <w:szCs w:val="19"/>
                <w:color w:val="auto"/>
              </w:rPr>
            </w:pPr>
          </w:p>
        </w:tc>
        <w:tc>
          <w:tcPr>
            <w:tcW w:w="2540" w:type="dxa"/>
            <w:vAlign w:val="bottom"/>
          </w:tcPr>
          <w:p>
            <w:pPr>
              <w:ind w:left="60"/>
              <w:spacing w:after="0"/>
              <w:rPr>
                <w:sz w:val="20"/>
                <w:szCs w:val="20"/>
                <w:color w:val="auto"/>
              </w:rPr>
            </w:pPr>
            <w:r>
              <w:rPr>
                <w:rFonts w:ascii="Arial" w:cs="Arial" w:eastAsia="Arial" w:hAnsi="Arial"/>
                <w:sz w:val="16"/>
                <w:szCs w:val="16"/>
                <w:color w:val="auto"/>
              </w:rPr>
              <w:t>2007 - April 2023</w:t>
            </w:r>
          </w:p>
        </w:tc>
        <w:tc>
          <w:tcPr>
            <w:tcW w:w="7140" w:type="dxa"/>
            <w:vAlign w:val="bottom"/>
          </w:tcPr>
          <w:p>
            <w:pPr>
              <w:ind w:left="260"/>
              <w:spacing w:after="0"/>
              <w:rPr>
                <w:sz w:val="20"/>
                <w:szCs w:val="20"/>
                <w:color w:val="auto"/>
              </w:rPr>
            </w:pPr>
            <w:r>
              <w:rPr>
                <w:rFonts w:ascii="Arial" w:cs="Arial" w:eastAsia="Arial" w:hAnsi="Arial"/>
                <w:sz w:val="16"/>
                <w:szCs w:val="16"/>
                <w:color w:val="auto"/>
              </w:rPr>
              <w:t>provider of transportation systems.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35560</wp:posOffset>
            </wp:positionV>
            <wp:extent cx="630047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1160" w:space="240"/>
            <w:col w:w="9840"/>
          </w:cols>
          <w:pgMar w:left="320" w:top="238" w:right="339" w:bottom="1440" w:gutter="0" w:footer="0" w:header="0"/>
          <w:type w:val="continuous"/>
        </w:sectPr>
      </w:pPr>
    </w:p>
    <w:p>
      <w:pPr>
        <w:jc w:val="both"/>
        <w:ind w:left="1320"/>
        <w:spacing w:after="0" w:line="254" w:lineRule="auto"/>
        <w:rPr>
          <w:sz w:val="20"/>
          <w:szCs w:val="20"/>
          <w:color w:val="auto"/>
        </w:rPr>
      </w:pPr>
      <w:r>
        <w:rPr>
          <w:rFonts w:ascii="Arial" w:cs="Arial" w:eastAsia="Arial" w:hAnsi="Arial"/>
          <w:sz w:val="16"/>
          <w:szCs w:val="16"/>
          <w:color w:val="auto"/>
        </w:rPr>
        <w:t>Mr. Cardoso has served as the principal of CMPC Advisors LLC, an investment advisory firm since January 2015. He previously served as Chairman of Garrett Motion Inc. from July 2018 to April 2021 and Chairman of Kennametal, Inc. (publicly traded manufacturer of metalworking tools and wear-resistant products) from January 2008 until December 2014. He also served as President and Chief Executive Officer of Kennametal from January 2006 until December 2014. Mr. Cardoso joined Kennametal in 2003 and served as Vice President, Metalworking Solutions and Services Group and then as Executive Vice President and Chief Operating Officer before he became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71525" cy="7715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218440</wp:posOffset>
            </wp:positionV>
            <wp:extent cx="1997075" cy="2743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997075" cy="27432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65</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2023</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10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b w:val="1"/>
          <w:bCs w:val="1"/>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800100</wp:posOffset>
            </wp:positionV>
            <wp:extent cx="265430" cy="2743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6543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Debra L. Dial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109855</wp:posOffset>
            </wp:positionV>
            <wp:extent cx="6300470" cy="17830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300470" cy="1783080"/>
                    </a:xfrm>
                    <a:prstGeom prst="rect">
                      <a:avLst/>
                    </a:prstGeom>
                    <a:noFill/>
                  </pic:spPr>
                </pic:pic>
              </a:graphicData>
            </a:graphic>
          </wp:anchor>
        </w:drawing>
      </w:r>
    </w:p>
    <w:p>
      <w:pPr>
        <w:spacing w:after="0" w:line="261" w:lineRule="exact"/>
        <w:rPr>
          <w:sz w:val="20"/>
          <w:szCs w:val="20"/>
          <w:color w:val="auto"/>
        </w:rPr>
      </w:pPr>
    </w:p>
    <w:p>
      <w:pPr>
        <w:ind w:left="80"/>
        <w:spacing w:after="0"/>
        <w:tabs>
          <w:tab w:leader="none" w:pos="2780" w:val="left"/>
        </w:tabs>
        <w:rPr>
          <w:sz w:val="20"/>
          <w:szCs w:val="20"/>
          <w:color w:val="auto"/>
        </w:rPr>
      </w:pPr>
      <w:r>
        <w:rPr>
          <w:rFonts w:ascii="Arial" w:cs="Arial" w:eastAsia="Arial" w:hAnsi="Arial"/>
          <w:sz w:val="16"/>
          <w:szCs w:val="16"/>
          <w:b w:val="1"/>
          <w:bCs w:val="1"/>
          <w:color w:val="auto"/>
        </w:rPr>
        <w:t>COMMITTEES:</w:t>
      </w:r>
      <w:r>
        <w:rPr>
          <w:sz w:val="20"/>
          <w:szCs w:val="20"/>
          <w:color w:val="auto"/>
        </w:rPr>
        <w:tab/>
      </w: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240" w:hanging="153"/>
        <w:spacing w:after="0"/>
        <w:tabs>
          <w:tab w:leader="none" w:pos="240" w:val="left"/>
        </w:tabs>
        <w:numPr>
          <w:ilvl w:val="0"/>
          <w:numId w:val="9"/>
        </w:numPr>
        <w:rPr>
          <w:rFonts w:ascii="Arial" w:cs="Arial" w:eastAsia="Arial" w:hAnsi="Arial"/>
          <w:sz w:val="16"/>
          <w:szCs w:val="16"/>
          <w:color w:val="2F8B9E"/>
        </w:rPr>
      </w:pPr>
      <w:r>
        <w:rPr>
          <w:rFonts w:ascii="Arial" w:cs="Arial" w:eastAsia="Arial" w:hAnsi="Arial"/>
          <w:sz w:val="16"/>
          <w:szCs w:val="16"/>
          <w:color w:val="auto"/>
        </w:rPr>
        <w:t>Audit</w:t>
      </w:r>
    </w:p>
    <w:tbl>
      <w:tblPr>
        <w:tblLayout w:type="fixed"/>
        <w:tblInd w:w="80" w:type="dxa"/>
        <w:tblCellMar>
          <w:top w:w="0" w:type="dxa"/>
          <w:left w:w="0" w:type="dxa"/>
          <w:bottom w:w="0" w:type="dxa"/>
          <w:right w:w="0" w:type="dxa"/>
        </w:tblCellMar>
      </w:tblPr>
      <w:tr>
        <w:trPr>
          <w:trHeight w:val="178"/>
        </w:trPr>
        <w:tc>
          <w:tcPr>
            <w:tcW w:w="100" w:type="dxa"/>
            <w:vAlign w:val="bottom"/>
          </w:tcPr>
          <w:p>
            <w:pPr>
              <w:spacing w:after="0" w:line="178" w:lineRule="exact"/>
              <w:rPr>
                <w:sz w:val="20"/>
                <w:szCs w:val="20"/>
                <w:color w:val="auto"/>
              </w:rPr>
            </w:pPr>
            <w:r>
              <w:rPr>
                <w:rFonts w:ascii="Arial" w:cs="Arial" w:eastAsia="Arial" w:hAnsi="Arial"/>
                <w:sz w:val="16"/>
                <w:szCs w:val="16"/>
                <w:color w:val="2F8B9E"/>
              </w:rPr>
              <w:t>•</w:t>
            </w:r>
          </w:p>
        </w:tc>
        <w:tc>
          <w:tcPr>
            <w:tcW w:w="2500" w:type="dxa"/>
            <w:vAlign w:val="bottom"/>
          </w:tcPr>
          <w:p>
            <w:pPr>
              <w:ind w:left="60"/>
              <w:spacing w:after="0" w:line="178" w:lineRule="exact"/>
              <w:rPr>
                <w:sz w:val="20"/>
                <w:szCs w:val="20"/>
                <w:color w:val="auto"/>
              </w:rPr>
            </w:pPr>
            <w:r>
              <w:rPr>
                <w:rFonts w:ascii="Arial" w:cs="Arial" w:eastAsia="Arial" w:hAnsi="Arial"/>
                <w:sz w:val="16"/>
                <w:szCs w:val="16"/>
                <w:color w:val="auto"/>
              </w:rPr>
              <w:t>Finance</w:t>
            </w:r>
          </w:p>
        </w:tc>
        <w:tc>
          <w:tcPr>
            <w:tcW w:w="7180" w:type="dxa"/>
            <w:vAlign w:val="bottom"/>
            <w:gridSpan w:val="2"/>
          </w:tcPr>
          <w:p>
            <w:pPr>
              <w:ind w:left="120"/>
              <w:spacing w:after="0" w:line="178" w:lineRule="exact"/>
              <w:rPr>
                <w:sz w:val="20"/>
                <w:szCs w:val="20"/>
                <w:color w:val="auto"/>
              </w:rPr>
            </w:pPr>
            <w:r>
              <w:rPr>
                <w:rFonts w:ascii="Arial" w:cs="Arial" w:eastAsia="Arial" w:hAnsi="Arial"/>
                <w:sz w:val="16"/>
                <w:szCs w:val="16"/>
                <w:b w:val="1"/>
                <w:bCs w:val="1"/>
                <w:color w:val="auto"/>
              </w:rPr>
              <w:t>Ms. Dial brings to the Board deep experience and perspectives in finance and accounting</w:t>
            </w:r>
          </w:p>
        </w:tc>
      </w:tr>
      <w:tr>
        <w:trPr>
          <w:trHeight w:val="189"/>
        </w:trPr>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7180" w:type="dxa"/>
            <w:vAlign w:val="bottom"/>
            <w:gridSpan w:val="2"/>
          </w:tcPr>
          <w:p>
            <w:pPr>
              <w:ind w:left="120"/>
              <w:spacing w:after="0"/>
              <w:rPr>
                <w:sz w:val="20"/>
                <w:szCs w:val="20"/>
                <w:color w:val="auto"/>
              </w:rPr>
            </w:pPr>
            <w:r>
              <w:rPr>
                <w:rFonts w:ascii="Arial" w:cs="Arial" w:eastAsia="Arial" w:hAnsi="Arial"/>
                <w:sz w:val="16"/>
                <w:szCs w:val="16"/>
                <w:b w:val="1"/>
                <w:bCs w:val="1"/>
                <w:color w:val="auto"/>
              </w:rPr>
              <w:t>as well as proven leadership skills in areas such as mergers and acquisitions, business</w:t>
            </w:r>
          </w:p>
        </w:tc>
      </w:tr>
      <w:tr>
        <w:trPr>
          <w:trHeight w:val="189"/>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DIRECTORSHIPS:</w:t>
            </w:r>
          </w:p>
        </w:tc>
        <w:tc>
          <w:tcPr>
            <w:tcW w:w="7180" w:type="dxa"/>
            <w:vAlign w:val="bottom"/>
            <w:gridSpan w:val="2"/>
          </w:tcPr>
          <w:p>
            <w:pPr>
              <w:ind w:left="120"/>
              <w:spacing w:after="0"/>
              <w:rPr>
                <w:sz w:val="20"/>
                <w:szCs w:val="20"/>
                <w:color w:val="auto"/>
              </w:rPr>
            </w:pPr>
            <w:r>
              <w:rPr>
                <w:rFonts w:ascii="Arial" w:cs="Arial" w:eastAsia="Arial" w:hAnsi="Arial"/>
                <w:sz w:val="16"/>
                <w:szCs w:val="16"/>
                <w:b w:val="1"/>
                <w:bCs w:val="1"/>
                <w:color w:val="auto"/>
              </w:rPr>
              <w:t>strategy, and risk management, including:</w:t>
            </w: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F8B9E"/>
              </w:rPr>
              <w:t>•</w:t>
            </w:r>
          </w:p>
        </w:tc>
        <w:tc>
          <w:tcPr>
            <w:tcW w:w="2500" w:type="dxa"/>
            <w:vAlign w:val="bottom"/>
          </w:tcPr>
          <w:p>
            <w:pPr>
              <w:ind w:left="60"/>
              <w:spacing w:after="0"/>
              <w:rPr>
                <w:sz w:val="20"/>
                <w:szCs w:val="20"/>
                <w:color w:val="auto"/>
              </w:rPr>
            </w:pPr>
            <w:r>
              <w:rPr>
                <w:rFonts w:ascii="Arial" w:cs="Arial" w:eastAsia="Arial" w:hAnsi="Arial"/>
                <w:sz w:val="16"/>
                <w:szCs w:val="16"/>
                <w:color w:val="auto"/>
              </w:rPr>
              <w:t>Dow Inc., since April 2021</w:t>
            </w:r>
          </w:p>
        </w:tc>
        <w:tc>
          <w:tcPr>
            <w:tcW w:w="240" w:type="dxa"/>
            <w:vAlign w:val="bottom"/>
          </w:tcPr>
          <w:p>
            <w:pPr>
              <w:spacing w:after="0"/>
              <w:rPr>
                <w:sz w:val="16"/>
                <w:szCs w:val="16"/>
                <w:color w:val="auto"/>
              </w:rPr>
            </w:pPr>
          </w:p>
        </w:tc>
        <w:tc>
          <w:tcPr>
            <w:tcW w:w="6940" w:type="dxa"/>
            <w:vAlign w:val="bottom"/>
          </w:tcPr>
          <w:p>
            <w:pPr>
              <w:spacing w:after="0"/>
              <w:rPr>
                <w:sz w:val="16"/>
                <w:szCs w:val="16"/>
                <w:color w:val="auto"/>
              </w:rPr>
            </w:pPr>
          </w:p>
        </w:tc>
      </w:tr>
      <w:tr>
        <w:trPr>
          <w:trHeight w:val="175"/>
        </w:trPr>
        <w:tc>
          <w:tcPr>
            <w:tcW w:w="100" w:type="dxa"/>
            <w:vAlign w:val="bottom"/>
          </w:tcPr>
          <w:p>
            <w:pPr>
              <w:spacing w:after="0" w:line="175" w:lineRule="exact"/>
              <w:rPr>
                <w:sz w:val="20"/>
                <w:szCs w:val="20"/>
                <w:color w:val="auto"/>
              </w:rPr>
            </w:pPr>
            <w:r>
              <w:rPr>
                <w:rFonts w:ascii="Arial" w:cs="Arial" w:eastAsia="Arial" w:hAnsi="Arial"/>
                <w:sz w:val="16"/>
                <w:szCs w:val="16"/>
                <w:color w:val="2F8B9E"/>
              </w:rPr>
              <w:t>•</w:t>
            </w:r>
          </w:p>
        </w:tc>
        <w:tc>
          <w:tcPr>
            <w:tcW w:w="2500" w:type="dxa"/>
            <w:vAlign w:val="bottom"/>
          </w:tcPr>
          <w:p>
            <w:pPr>
              <w:ind w:left="60"/>
              <w:spacing w:after="0" w:line="175" w:lineRule="exact"/>
              <w:rPr>
                <w:sz w:val="20"/>
                <w:szCs w:val="20"/>
                <w:color w:val="auto"/>
              </w:rPr>
            </w:pPr>
            <w:r>
              <w:rPr>
                <w:rFonts w:ascii="Arial" w:cs="Arial" w:eastAsia="Arial" w:hAnsi="Arial"/>
                <w:sz w:val="16"/>
                <w:szCs w:val="16"/>
                <w:color w:val="auto"/>
              </w:rPr>
              <w:t>Booz Allen Hamilton Holding</w:t>
            </w:r>
          </w:p>
        </w:tc>
        <w:tc>
          <w:tcPr>
            <w:tcW w:w="7180" w:type="dxa"/>
            <w:vAlign w:val="bottom"/>
            <w:gridSpan w:val="2"/>
          </w:tcPr>
          <w:p>
            <w:pPr>
              <w:ind w:left="120"/>
              <w:spacing w:after="0" w:line="175" w:lineRule="exact"/>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Formerly served as Senior Vice President, Chief Accounting Officer and Controller of AT&amp;T Inc.</w:t>
            </w:r>
          </w:p>
        </w:tc>
      </w:tr>
      <w:tr>
        <w:trPr>
          <w:trHeight w:val="189"/>
        </w:trPr>
        <w:tc>
          <w:tcPr>
            <w:tcW w:w="100" w:type="dxa"/>
            <w:vAlign w:val="bottom"/>
          </w:tcPr>
          <w:p>
            <w:pPr>
              <w:spacing w:after="0"/>
              <w:rPr>
                <w:sz w:val="16"/>
                <w:szCs w:val="16"/>
                <w:color w:val="auto"/>
              </w:rPr>
            </w:pPr>
          </w:p>
        </w:tc>
        <w:tc>
          <w:tcPr>
            <w:tcW w:w="2500" w:type="dxa"/>
            <w:vAlign w:val="bottom"/>
          </w:tcPr>
          <w:p>
            <w:pPr>
              <w:ind w:left="60"/>
              <w:spacing w:after="0"/>
              <w:rPr>
                <w:sz w:val="20"/>
                <w:szCs w:val="20"/>
                <w:color w:val="auto"/>
              </w:rPr>
            </w:pPr>
            <w:r>
              <w:rPr>
                <w:rFonts w:ascii="Arial" w:cs="Arial" w:eastAsia="Arial" w:hAnsi="Arial"/>
                <w:sz w:val="16"/>
                <w:szCs w:val="16"/>
                <w:color w:val="auto"/>
              </w:rPr>
              <w:t>Corporation, since January 2025</w:t>
            </w:r>
          </w:p>
        </w:tc>
        <w:tc>
          <w:tcPr>
            <w:tcW w:w="240" w:type="dxa"/>
            <w:vAlign w:val="bottom"/>
          </w:tcPr>
          <w:p>
            <w:pPr>
              <w:ind w:left="120"/>
              <w:spacing w:after="0"/>
              <w:rPr>
                <w:sz w:val="20"/>
                <w:szCs w:val="20"/>
                <w:color w:val="auto"/>
              </w:rPr>
            </w:pPr>
            <w:r>
              <w:rPr>
                <w:rFonts w:ascii="Arial" w:cs="Arial" w:eastAsia="Arial" w:hAnsi="Arial"/>
                <w:sz w:val="16"/>
                <w:szCs w:val="16"/>
                <w:color w:val="2F8B9E"/>
              </w:rPr>
              <w:t>•</w:t>
            </w:r>
          </w:p>
        </w:tc>
        <w:tc>
          <w:tcPr>
            <w:tcW w:w="6940" w:type="dxa"/>
            <w:vAlign w:val="bottom"/>
          </w:tcPr>
          <w:p>
            <w:pPr>
              <w:ind w:left="40"/>
              <w:spacing w:after="0"/>
              <w:rPr>
                <w:sz w:val="20"/>
                <w:szCs w:val="20"/>
                <w:color w:val="auto"/>
              </w:rPr>
            </w:pPr>
            <w:r>
              <w:rPr>
                <w:rFonts w:ascii="Arial" w:cs="Arial" w:eastAsia="Arial" w:hAnsi="Arial"/>
                <w:sz w:val="16"/>
                <w:szCs w:val="16"/>
                <w:color w:val="auto"/>
              </w:rPr>
              <w:t>Previously Vice President of Finance for AT&amp;T Capital Management and Chief Financial Officer</w:t>
            </w:r>
          </w:p>
        </w:tc>
      </w:tr>
      <w:tr>
        <w:trPr>
          <w:trHeight w:val="175"/>
        </w:trPr>
        <w:tc>
          <w:tcPr>
            <w:tcW w:w="10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940" w:type="dxa"/>
            <w:vAlign w:val="bottom"/>
          </w:tcPr>
          <w:p>
            <w:pPr>
              <w:ind w:left="40"/>
              <w:spacing w:after="0" w:line="175" w:lineRule="exact"/>
              <w:rPr>
                <w:sz w:val="20"/>
                <w:szCs w:val="20"/>
                <w:color w:val="auto"/>
              </w:rPr>
            </w:pPr>
            <w:r>
              <w:rPr>
                <w:rFonts w:ascii="Arial" w:cs="Arial" w:eastAsia="Arial" w:hAnsi="Arial"/>
                <w:sz w:val="16"/>
                <w:szCs w:val="16"/>
                <w:color w:val="auto"/>
              </w:rPr>
              <w:t>for the AT&amp;T Chief Information and Technology Officers.</w:t>
            </w:r>
          </w:p>
        </w:tc>
      </w:tr>
      <w:tr>
        <w:trPr>
          <w:trHeight w:val="189"/>
        </w:trPr>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ind w:left="120"/>
              <w:spacing w:after="0"/>
              <w:rPr>
                <w:sz w:val="20"/>
                <w:szCs w:val="20"/>
                <w:color w:val="auto"/>
              </w:rPr>
            </w:pPr>
            <w:r>
              <w:rPr>
                <w:rFonts w:ascii="Arial" w:cs="Arial" w:eastAsia="Arial" w:hAnsi="Arial"/>
                <w:sz w:val="16"/>
                <w:szCs w:val="16"/>
                <w:color w:val="2F8B9E"/>
              </w:rPr>
              <w:t>•</w:t>
            </w:r>
          </w:p>
        </w:tc>
        <w:tc>
          <w:tcPr>
            <w:tcW w:w="6940" w:type="dxa"/>
            <w:vAlign w:val="bottom"/>
          </w:tcPr>
          <w:p>
            <w:pPr>
              <w:ind w:left="40"/>
              <w:spacing w:after="0"/>
              <w:rPr>
                <w:sz w:val="20"/>
                <w:szCs w:val="20"/>
                <w:color w:val="auto"/>
              </w:rPr>
            </w:pPr>
            <w:r>
              <w:rPr>
                <w:rFonts w:ascii="Arial" w:cs="Arial" w:eastAsia="Arial" w:hAnsi="Arial"/>
                <w:sz w:val="16"/>
                <w:szCs w:val="16"/>
                <w:color w:val="auto"/>
              </w:rPr>
              <w:t>Membership on the board of Dow Inc., a public company and materials science manufacturer,</w:t>
            </w:r>
          </w:p>
        </w:tc>
      </w:tr>
      <w:tr>
        <w:trPr>
          <w:trHeight w:val="189"/>
        </w:trPr>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serving customers in packaging, infrastructure, mobility and consumer applications, and Booz</w:t>
            </w:r>
          </w:p>
        </w:tc>
      </w:tr>
      <w:tr>
        <w:trPr>
          <w:trHeight w:val="189"/>
        </w:trPr>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Allen Hamilton Holding Corporation, a publicly traded company providing advanced technology</w:t>
            </w:r>
          </w:p>
        </w:tc>
      </w:tr>
      <w:tr>
        <w:trPr>
          <w:trHeight w:val="189"/>
        </w:trPr>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solutions (artificial intelligence and cyber) to support national missions.</w:t>
            </w:r>
          </w:p>
        </w:tc>
      </w:tr>
      <w:tr>
        <w:trPr>
          <w:trHeight w:val="215"/>
        </w:trPr>
        <w:tc>
          <w:tcPr>
            <w:tcW w:w="1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ind w:left="120"/>
              <w:spacing w:after="0"/>
              <w:rPr>
                <w:sz w:val="20"/>
                <w:szCs w:val="20"/>
                <w:color w:val="auto"/>
              </w:rPr>
            </w:pPr>
            <w:r>
              <w:rPr>
                <w:rFonts w:ascii="Arial" w:cs="Arial" w:eastAsia="Arial" w:hAnsi="Arial"/>
                <w:sz w:val="16"/>
                <w:szCs w:val="16"/>
                <w:color w:val="2F8B9E"/>
              </w:rPr>
              <w:t>•</w:t>
            </w:r>
          </w:p>
        </w:tc>
        <w:tc>
          <w:tcPr>
            <w:tcW w:w="6940" w:type="dxa"/>
            <w:vAlign w:val="bottom"/>
          </w:tcPr>
          <w:p>
            <w:pPr>
              <w:ind w:left="40"/>
              <w:spacing w:after="0"/>
              <w:rPr>
                <w:sz w:val="20"/>
                <w:szCs w:val="20"/>
                <w:color w:val="auto"/>
              </w:rPr>
            </w:pPr>
            <w:r>
              <w:rPr>
                <w:rFonts w:ascii="Arial" w:cs="Arial" w:eastAsia="Arial" w:hAnsi="Arial"/>
                <w:sz w:val="16"/>
                <w:szCs w:val="16"/>
                <w:color w:val="auto"/>
              </w:rPr>
              <w:t>Auditor with KPMG for ten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35560</wp:posOffset>
            </wp:positionV>
            <wp:extent cx="630047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Ms. Dial served as the Senior Vice President, Chief Accounting Officer and Controller of AT&amp;T Inc., a global telecommunications company from 2022 to 2023 and Senior Vice President and Controller from 2016 to 2023. Prior to that, Ms. Dial served in various finance leadership roles at AT&amp;T for twenty years. Prior to joining AT&amp;T, Ms. Dial spent ten years at KPMG in its audit practice, where she held roles of increasing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147320</wp:posOffset>
            </wp:positionV>
            <wp:extent cx="283210" cy="29146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83210" cy="291465"/>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147320</wp:posOffset>
            </wp:positionV>
            <wp:extent cx="274320" cy="2743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147320</wp:posOffset>
            </wp:positionV>
            <wp:extent cx="274320" cy="2743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147320</wp:posOffset>
            </wp:positionV>
            <wp:extent cx="282575" cy="2825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147320</wp:posOffset>
            </wp:positionV>
            <wp:extent cx="282575" cy="2825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147320</wp:posOffset>
            </wp:positionV>
            <wp:extent cx="265430" cy="26606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65430" cy="26606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147320</wp:posOffset>
            </wp:positionV>
            <wp:extent cx="274320" cy="2743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160"/>
            <w:col w:w="9920"/>
          </w:cols>
          <w:pgMar w:left="320" w:top="238" w:right="339" w:bottom="1440" w:gutter="0" w:footer="0" w:header="0"/>
          <w:type w:val="continuous"/>
        </w:sect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1440" w:val="left"/>
          <w:tab w:leader="none" w:pos="3760" w:val="left"/>
          <w:tab w:leader="none" w:pos="4580" w:val="left"/>
          <w:tab w:leader="none" w:pos="6160" w:val="left"/>
          <w:tab w:leader="none" w:pos="7400" w:val="left"/>
          <w:tab w:leader="none" w:pos="8360" w:val="left"/>
          <w:tab w:leader="none" w:pos="9780" w:val="left"/>
        </w:tabs>
        <w:rPr>
          <w:sz w:val="20"/>
          <w:szCs w:val="20"/>
          <w:color w:val="auto"/>
        </w:rPr>
      </w:pPr>
      <w:r>
        <w:rPr>
          <w:rFonts w:ascii="Arial" w:cs="Arial" w:eastAsia="Arial" w:hAnsi="Arial"/>
          <w:sz w:val="14"/>
          <w:szCs w:val="14"/>
          <w:b w:val="1"/>
          <w:bCs w:val="1"/>
          <w:color w:val="auto"/>
        </w:rPr>
        <w:t>PUBLIC COMPANY</w:t>
        <w:tab/>
        <w:t>BUSINESS DEVELOPMENT</w:t>
      </w:r>
      <w:r>
        <w:rPr>
          <w:sz w:val="20"/>
          <w:szCs w:val="20"/>
          <w:color w:val="auto"/>
        </w:rPr>
        <w:tab/>
      </w:r>
      <w:r>
        <w:rPr>
          <w:rFonts w:ascii="Arial" w:cs="Arial" w:eastAsia="Arial" w:hAnsi="Arial"/>
          <w:sz w:val="14"/>
          <w:szCs w:val="14"/>
          <w:b w:val="1"/>
          <w:bCs w:val="1"/>
          <w:color w:val="auto"/>
        </w:rPr>
        <w:t>CEO</w:t>
      </w:r>
      <w:r>
        <w:rPr>
          <w:sz w:val="20"/>
          <w:szCs w:val="20"/>
          <w:color w:val="auto"/>
        </w:rPr>
        <w:tab/>
      </w:r>
      <w:r>
        <w:rPr>
          <w:rFonts w:ascii="Arial" w:cs="Arial" w:eastAsia="Arial" w:hAnsi="Arial"/>
          <w:sz w:val="14"/>
          <w:szCs w:val="14"/>
          <w:b w:val="1"/>
          <w:bCs w:val="1"/>
          <w:color w:val="auto"/>
        </w:rPr>
        <w:t>CYBERSECURITY</w:t>
      </w:r>
      <w:r>
        <w:rPr>
          <w:sz w:val="20"/>
          <w:szCs w:val="20"/>
          <w:color w:val="auto"/>
        </w:rPr>
        <w:tab/>
      </w:r>
      <w:r>
        <w:rPr>
          <w:rFonts w:ascii="Arial" w:cs="Arial" w:eastAsia="Arial" w:hAnsi="Arial"/>
          <w:sz w:val="14"/>
          <w:szCs w:val="14"/>
          <w:b w:val="1"/>
          <w:bCs w:val="1"/>
          <w:color w:val="auto"/>
        </w:rPr>
        <w:t>FINANCIAL</w:t>
      </w:r>
      <w:r>
        <w:rPr>
          <w:sz w:val="20"/>
          <w:szCs w:val="20"/>
          <w:color w:val="auto"/>
        </w:rPr>
        <w:tab/>
      </w:r>
      <w:r>
        <w:rPr>
          <w:rFonts w:ascii="Arial" w:cs="Arial" w:eastAsia="Arial" w:hAnsi="Arial"/>
          <w:sz w:val="14"/>
          <w:szCs w:val="14"/>
          <w:b w:val="1"/>
          <w:bCs w:val="1"/>
          <w:color w:val="auto"/>
        </w:rPr>
        <w:t>GLOBAL</w:t>
      </w:r>
      <w:r>
        <w:rPr>
          <w:sz w:val="20"/>
          <w:szCs w:val="20"/>
          <w:color w:val="auto"/>
        </w:rPr>
        <w:tab/>
      </w:r>
      <w:r>
        <w:rPr>
          <w:rFonts w:ascii="Arial" w:cs="Arial" w:eastAsia="Arial" w:hAnsi="Arial"/>
          <w:sz w:val="14"/>
          <w:szCs w:val="14"/>
          <w:b w:val="1"/>
          <w:bCs w:val="1"/>
          <w:color w:val="auto"/>
        </w:rPr>
        <w:t>MANUFACTURING</w:t>
        <w:tab/>
        <w:t>RISK MANAGEMENT</w:t>
      </w:r>
    </w:p>
    <w:p>
      <w:pPr>
        <w:spacing w:after="0" w:line="15" w:lineRule="exact"/>
        <w:rPr>
          <w:sz w:val="20"/>
          <w:szCs w:val="20"/>
          <w:color w:val="auto"/>
        </w:rPr>
      </w:pPr>
    </w:p>
    <w:p>
      <w:pPr>
        <w:ind w:left="400"/>
        <w:spacing w:after="0"/>
        <w:tabs>
          <w:tab w:leader="none" w:pos="1820" w:val="left"/>
          <w:tab w:leader="none" w:pos="4520" w:val="left"/>
        </w:tabs>
        <w:rPr>
          <w:sz w:val="20"/>
          <w:szCs w:val="20"/>
          <w:color w:val="auto"/>
        </w:rPr>
      </w:pPr>
      <w:r>
        <w:rPr>
          <w:rFonts w:ascii="Arial" w:cs="Arial" w:eastAsia="Arial" w:hAnsi="Arial"/>
          <w:sz w:val="14"/>
          <w:szCs w:val="14"/>
          <w:b w:val="1"/>
          <w:bCs w:val="1"/>
          <w:color w:val="auto"/>
        </w:rPr>
        <w:t>BOARD</w:t>
      </w:r>
      <w:r>
        <w:rPr>
          <w:sz w:val="20"/>
          <w:szCs w:val="20"/>
          <w:color w:val="auto"/>
        </w:rPr>
        <w:tab/>
      </w:r>
      <w:r>
        <w:rPr>
          <w:rFonts w:ascii="Arial" w:cs="Arial" w:eastAsia="Arial" w:hAnsi="Arial"/>
          <w:sz w:val="14"/>
          <w:szCs w:val="14"/>
          <w:b w:val="1"/>
          <w:bCs w:val="1"/>
          <w:color w:val="auto"/>
        </w:rPr>
        <w:t>AND STRATEGY</w:t>
      </w:r>
      <w:r>
        <w:rPr>
          <w:sz w:val="20"/>
          <w:szCs w:val="20"/>
          <w:color w:val="auto"/>
        </w:rPr>
        <w:tab/>
      </w:r>
      <w:r>
        <w:rPr>
          <w:rFonts w:ascii="Arial" w:cs="Arial" w:eastAsia="Arial" w:hAnsi="Arial"/>
          <w:sz w:val="14"/>
          <w:szCs w:val="14"/>
          <w:b w:val="1"/>
          <w:bCs w:val="1"/>
          <w:color w:val="auto"/>
        </w:rPr>
        <w:t>AND TECHNOLOGY</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18</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7715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118110</wp:posOffset>
            </wp:positionV>
            <wp:extent cx="2691765" cy="274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691765" cy="274320"/>
                    </a:xfrm>
                    <a:prstGeom prst="rect">
                      <a:avLst/>
                    </a:prstGeom>
                    <a:noFill/>
                  </pic:spPr>
                </pic:pic>
              </a:graphicData>
            </a:graphic>
          </wp:anchor>
        </w:drawing>
      </w:r>
    </w:p>
    <w:p>
      <w:pPr>
        <w:spacing w:after="0" w:line="172" w:lineRule="exact"/>
        <w:rPr>
          <w:sz w:val="20"/>
          <w:szCs w:val="20"/>
          <w:color w:val="auto"/>
        </w:rPr>
      </w:pPr>
    </w:p>
    <w:p>
      <w:pPr>
        <w:ind w:left="1320"/>
        <w:spacing w:after="0"/>
        <w:rPr>
          <w:sz w:val="20"/>
          <w:szCs w:val="20"/>
          <w:color w:val="auto"/>
        </w:rPr>
      </w:pPr>
      <w:r>
        <w:rPr>
          <w:rFonts w:ascii="Arial" w:cs="Arial" w:eastAsia="Arial" w:hAnsi="Arial"/>
          <w:sz w:val="29"/>
          <w:szCs w:val="29"/>
          <w:b w:val="1"/>
          <w:bCs w:val="1"/>
          <w:color w:val="auto"/>
        </w:rPr>
        <w:t>Anthony J. Guzzi</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20" w:type="dxa"/>
            <w:vAlign w:val="bottom"/>
          </w:tcPr>
          <w:p>
            <w:pPr>
              <w:spacing w:after="0"/>
              <w:rPr>
                <w:sz w:val="24"/>
                <w:szCs w:val="24"/>
                <w:color w:val="auto"/>
              </w:rPr>
            </w:pPr>
          </w:p>
        </w:tc>
        <w:tc>
          <w:tcPr>
            <w:tcW w:w="2680" w:type="dxa"/>
            <w:vAlign w:val="bottom"/>
            <w:tcBorders>
              <w:top w:val="single" w:sz="8" w:color="FFE933"/>
            </w:tcBorders>
            <w:gridSpan w:val="2"/>
            <w:shd w:val="clear" w:color="auto" w:fill="E8EDF5"/>
          </w:tcPr>
          <w:p>
            <w:pPr>
              <w:ind w:left="80"/>
              <w:spacing w:after="0"/>
              <w:rPr>
                <w:sz w:val="20"/>
                <w:szCs w:val="20"/>
                <w:color w:val="auto"/>
              </w:rPr>
            </w:pPr>
            <w:r>
              <w:rPr>
                <w:rFonts w:ascii="Arial" w:cs="Arial" w:eastAsia="Arial" w:hAnsi="Arial"/>
                <w:sz w:val="16"/>
                <w:szCs w:val="16"/>
                <w:b w:val="1"/>
                <w:bCs w:val="1"/>
                <w:color w:val="auto"/>
              </w:rPr>
              <w:t>COMMITTEES:</w:t>
            </w:r>
          </w:p>
        </w:tc>
        <w:tc>
          <w:tcPr>
            <w:tcW w:w="7240" w:type="dxa"/>
            <w:vAlign w:val="bottom"/>
            <w:tcBorders>
              <w:top w:val="single" w:sz="8" w:color="FFE933"/>
            </w:tcBorders>
            <w:gridSpan w:val="2"/>
          </w:tcPr>
          <w:p>
            <w:pPr>
              <w:ind w:left="100"/>
              <w:spacing w:after="0"/>
              <w:rPr>
                <w:sz w:val="20"/>
                <w:szCs w:val="20"/>
                <w:color w:val="auto"/>
              </w:rPr>
            </w:pPr>
            <w:r>
              <w:rPr>
                <w:rFonts w:ascii="Arial" w:cs="Arial" w:eastAsia="Arial" w:hAnsi="Arial"/>
                <w:sz w:val="16"/>
                <w:szCs w:val="16"/>
                <w:b w:val="1"/>
                <w:bCs w:val="1"/>
                <w:color w:val="auto"/>
              </w:rPr>
              <w:t>QUALIFICATIONS:</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2680" w:type="dxa"/>
            <w:vAlign w:val="bottom"/>
            <w:gridSpan w:val="2"/>
            <w:shd w:val="clear" w:color="auto" w:fill="E8EDF5"/>
          </w:tcPr>
          <w:p>
            <w:pPr>
              <w:ind w:left="80"/>
              <w:spacing w:after="0"/>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Compensation</w:t>
            </w:r>
          </w:p>
        </w:tc>
        <w:tc>
          <w:tcPr>
            <w:tcW w:w="20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180" w:type="dxa"/>
            <w:vAlign w:val="bottom"/>
            <w:shd w:val="clear" w:color="auto" w:fill="E8EDF5"/>
          </w:tcPr>
          <w:p>
            <w:pPr>
              <w:ind w:left="80"/>
              <w:spacing w:after="0"/>
              <w:rPr>
                <w:sz w:val="20"/>
                <w:szCs w:val="20"/>
                <w:color w:val="auto"/>
              </w:rPr>
            </w:pPr>
            <w:r>
              <w:rPr>
                <w:rFonts w:ascii="Arial" w:cs="Arial" w:eastAsia="Arial" w:hAnsi="Arial"/>
                <w:sz w:val="16"/>
                <w:szCs w:val="16"/>
                <w:color w:val="2F8B9E"/>
              </w:rPr>
              <w:t>•</w:t>
            </w:r>
          </w:p>
        </w:tc>
        <w:tc>
          <w:tcPr>
            <w:tcW w:w="2500" w:type="dxa"/>
            <w:vAlign w:val="bottom"/>
            <w:shd w:val="clear" w:color="auto" w:fill="E8EDF5"/>
          </w:tcPr>
          <w:p>
            <w:pPr>
              <w:ind w:left="60"/>
              <w:spacing w:after="0"/>
              <w:rPr>
                <w:sz w:val="20"/>
                <w:szCs w:val="20"/>
                <w:color w:val="auto"/>
              </w:rPr>
            </w:pPr>
            <w:r>
              <w:rPr>
                <w:rFonts w:ascii="Arial" w:cs="Arial" w:eastAsia="Arial" w:hAnsi="Arial"/>
                <w:sz w:val="16"/>
                <w:szCs w:val="16"/>
                <w:color w:val="auto"/>
              </w:rPr>
              <w:t>Executive</w:t>
            </w:r>
          </w:p>
        </w:tc>
        <w:tc>
          <w:tcPr>
            <w:tcW w:w="7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Mr.  Guzzi  brings  to  the  Board  CEO,  COO,  manufacturing,  strategic  development,</w:t>
            </w:r>
          </w:p>
        </w:tc>
        <w:tc>
          <w:tcPr>
            <w:tcW w:w="0" w:type="dxa"/>
            <w:vAlign w:val="bottom"/>
          </w:tcPr>
          <w:p>
            <w:pPr>
              <w:spacing w:after="0"/>
              <w:rPr>
                <w:sz w:val="1"/>
                <w:szCs w:val="1"/>
                <w:color w:val="auto"/>
              </w:rPr>
            </w:pPr>
          </w:p>
        </w:tc>
      </w:tr>
      <w:tr>
        <w:trPr>
          <w:trHeight w:val="189"/>
        </w:trPr>
        <w:tc>
          <w:tcPr>
            <w:tcW w:w="132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tc>
        <w:tc>
          <w:tcPr>
            <w:tcW w:w="180" w:type="dxa"/>
            <w:vAlign w:val="bottom"/>
            <w:shd w:val="clear" w:color="auto" w:fill="E8EDF5"/>
          </w:tcPr>
          <w:p>
            <w:pPr>
              <w:ind w:left="80"/>
              <w:spacing w:after="0"/>
              <w:rPr>
                <w:sz w:val="20"/>
                <w:szCs w:val="20"/>
                <w:color w:val="auto"/>
              </w:rPr>
            </w:pPr>
            <w:r>
              <w:rPr>
                <w:rFonts w:ascii="Arial" w:cs="Arial" w:eastAsia="Arial" w:hAnsi="Arial"/>
                <w:sz w:val="16"/>
                <w:szCs w:val="16"/>
                <w:color w:val="2F8B9E"/>
              </w:rPr>
              <w:t>•</w:t>
            </w:r>
          </w:p>
        </w:tc>
        <w:tc>
          <w:tcPr>
            <w:tcW w:w="2500" w:type="dxa"/>
            <w:vAlign w:val="bottom"/>
            <w:shd w:val="clear" w:color="auto" w:fill="E8EDF5"/>
          </w:tcPr>
          <w:p>
            <w:pPr>
              <w:ind w:left="60"/>
              <w:spacing w:after="0"/>
              <w:rPr>
                <w:sz w:val="20"/>
                <w:szCs w:val="20"/>
                <w:color w:val="auto"/>
              </w:rPr>
            </w:pPr>
            <w:r>
              <w:rPr>
                <w:rFonts w:ascii="Arial" w:cs="Arial" w:eastAsia="Arial" w:hAnsi="Arial"/>
                <w:sz w:val="16"/>
                <w:szCs w:val="16"/>
                <w:color w:val="auto"/>
              </w:rPr>
              <w:t>Finance</w:t>
            </w:r>
          </w:p>
        </w:tc>
        <w:tc>
          <w:tcPr>
            <w:tcW w:w="7240" w:type="dxa"/>
            <w:vAlign w:val="bottom"/>
            <w:gridSpan w:val="2"/>
          </w:tcPr>
          <w:p>
            <w:pPr>
              <w:ind w:left="100"/>
              <w:spacing w:after="0"/>
              <w:rPr>
                <w:sz w:val="20"/>
                <w:szCs w:val="20"/>
                <w:color w:val="auto"/>
              </w:rPr>
            </w:pPr>
            <w:r>
              <w:rPr>
                <w:rFonts w:ascii="Arial" w:cs="Arial" w:eastAsia="Arial" w:hAnsi="Arial"/>
                <w:sz w:val="16"/>
                <w:szCs w:val="16"/>
                <w:b w:val="1"/>
                <w:bCs w:val="1"/>
                <w:color w:val="auto"/>
              </w:rPr>
              <w:t>operations, consulting, and public company board experience, including:</w:t>
            </w: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180" w:type="dxa"/>
            <w:vAlign w:val="bottom"/>
            <w:vMerge w:val="restart"/>
            <w:shd w:val="clear" w:color="auto" w:fill="E8EDF5"/>
          </w:tcPr>
          <w:p>
            <w:pPr>
              <w:ind w:left="80"/>
              <w:spacing w:after="0"/>
              <w:rPr>
                <w:sz w:val="20"/>
                <w:szCs w:val="20"/>
                <w:color w:val="auto"/>
              </w:rPr>
            </w:pPr>
            <w:r>
              <w:rPr>
                <w:rFonts w:ascii="Arial" w:cs="Arial" w:eastAsia="Arial" w:hAnsi="Arial"/>
                <w:sz w:val="16"/>
                <w:szCs w:val="16"/>
                <w:color w:val="2F8B9E"/>
              </w:rPr>
              <w:t>•</w:t>
            </w:r>
          </w:p>
        </w:tc>
        <w:tc>
          <w:tcPr>
            <w:tcW w:w="2500" w:type="dxa"/>
            <w:vAlign w:val="bottom"/>
            <w:vMerge w:val="restart"/>
            <w:shd w:val="clear" w:color="auto" w:fill="E8EDF5"/>
          </w:tcPr>
          <w:p>
            <w:pPr>
              <w:ind w:left="60"/>
              <w:spacing w:after="0"/>
              <w:rPr>
                <w:sz w:val="20"/>
                <w:szCs w:val="20"/>
                <w:color w:val="auto"/>
              </w:rPr>
            </w:pPr>
            <w:r>
              <w:rPr>
                <w:rFonts w:ascii="Arial" w:cs="Arial" w:eastAsia="Arial" w:hAnsi="Arial"/>
                <w:sz w:val="16"/>
                <w:szCs w:val="16"/>
                <w:color w:val="auto"/>
              </w:rPr>
              <w:t>Nominating and Corporate</w:t>
            </w:r>
          </w:p>
        </w:tc>
        <w:tc>
          <w:tcPr>
            <w:tcW w:w="20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1320" w:type="dxa"/>
            <w:vAlign w:val="bottom"/>
          </w:tcPr>
          <w:p>
            <w:pPr>
              <w:spacing w:after="0"/>
              <w:rPr>
                <w:sz w:val="5"/>
                <w:szCs w:val="5"/>
                <w:color w:val="auto"/>
              </w:rPr>
            </w:pPr>
          </w:p>
        </w:tc>
        <w:tc>
          <w:tcPr>
            <w:tcW w:w="180" w:type="dxa"/>
            <w:vAlign w:val="bottom"/>
            <w:vMerge w:val="continue"/>
            <w:shd w:val="clear" w:color="auto" w:fill="E8EDF5"/>
          </w:tcPr>
          <w:p>
            <w:pPr>
              <w:spacing w:after="0"/>
              <w:rPr>
                <w:sz w:val="5"/>
                <w:szCs w:val="5"/>
                <w:color w:val="auto"/>
              </w:rPr>
            </w:pPr>
          </w:p>
        </w:tc>
        <w:tc>
          <w:tcPr>
            <w:tcW w:w="2500" w:type="dxa"/>
            <w:vAlign w:val="bottom"/>
            <w:vMerge w:val="continue"/>
            <w:shd w:val="clear" w:color="auto" w:fill="E8EDF5"/>
          </w:tcPr>
          <w:p>
            <w:pPr>
              <w:spacing w:after="0"/>
              <w:rPr>
                <w:sz w:val="5"/>
                <w:szCs w:val="5"/>
                <w:color w:val="auto"/>
              </w:rPr>
            </w:pPr>
          </w:p>
        </w:tc>
        <w:tc>
          <w:tcPr>
            <w:tcW w:w="200" w:type="dxa"/>
            <w:vAlign w:val="bottom"/>
          </w:tcPr>
          <w:p>
            <w:pPr>
              <w:spacing w:after="0"/>
              <w:rPr>
                <w:sz w:val="5"/>
                <w:szCs w:val="5"/>
                <w:color w:val="auto"/>
              </w:rPr>
            </w:pPr>
          </w:p>
        </w:tc>
        <w:tc>
          <w:tcPr>
            <w:tcW w:w="7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20"/>
                <w:szCs w:val="20"/>
                <w:color w:val="auto"/>
              </w:rPr>
            </w:pPr>
            <w:r>
              <w:rPr>
                <w:rFonts w:ascii="Arial" w:cs="Arial" w:eastAsia="Arial" w:hAnsi="Arial"/>
                <w:sz w:val="16"/>
                <w:szCs w:val="16"/>
                <w:b w:val="1"/>
                <w:bCs w:val="1"/>
                <w:color w:val="auto"/>
              </w:rPr>
              <w:t>Director Since:</w:t>
            </w:r>
          </w:p>
        </w:tc>
        <w:tc>
          <w:tcPr>
            <w:tcW w:w="180" w:type="dxa"/>
            <w:vAlign w:val="bottom"/>
            <w:shd w:val="clear" w:color="auto" w:fill="E8EDF5"/>
          </w:tcPr>
          <w:p>
            <w:pPr>
              <w:spacing w:after="0"/>
              <w:rPr>
                <w:sz w:val="16"/>
                <w:szCs w:val="16"/>
                <w:color w:val="auto"/>
              </w:rPr>
            </w:pPr>
          </w:p>
        </w:tc>
        <w:tc>
          <w:tcPr>
            <w:tcW w:w="2500" w:type="dxa"/>
            <w:vAlign w:val="bottom"/>
            <w:shd w:val="clear" w:color="auto" w:fill="E8EDF5"/>
          </w:tcPr>
          <w:p>
            <w:pPr>
              <w:ind w:left="60"/>
              <w:spacing w:after="0"/>
              <w:rPr>
                <w:sz w:val="20"/>
                <w:szCs w:val="20"/>
                <w:color w:val="auto"/>
              </w:rPr>
            </w:pPr>
            <w:r>
              <w:rPr>
                <w:rFonts w:ascii="Arial" w:cs="Arial" w:eastAsia="Arial" w:hAnsi="Arial"/>
                <w:sz w:val="16"/>
                <w:szCs w:val="16"/>
                <w:color w:val="auto"/>
              </w:rPr>
              <w:t>Governance</w:t>
            </w:r>
          </w:p>
        </w:tc>
        <w:tc>
          <w:tcPr>
            <w:tcW w:w="200" w:type="dxa"/>
            <w:vAlign w:val="bottom"/>
          </w:tcPr>
          <w:p>
            <w:pPr>
              <w:ind w:left="100"/>
              <w:spacing w:after="0"/>
              <w:rPr>
                <w:sz w:val="20"/>
                <w:szCs w:val="20"/>
                <w:color w:val="auto"/>
              </w:rPr>
            </w:pPr>
            <w:r>
              <w:rPr>
                <w:rFonts w:ascii="Arial" w:cs="Arial" w:eastAsia="Arial" w:hAnsi="Arial"/>
                <w:sz w:val="16"/>
                <w:szCs w:val="16"/>
                <w:color w:val="2F8B9E"/>
              </w:rPr>
              <w:t>•</w:t>
            </w:r>
          </w:p>
        </w:tc>
        <w:tc>
          <w:tcPr>
            <w:tcW w:w="7040" w:type="dxa"/>
            <w:vAlign w:val="bottom"/>
          </w:tcPr>
          <w:p>
            <w:pPr>
              <w:ind w:left="60"/>
              <w:spacing w:after="0"/>
              <w:rPr>
                <w:sz w:val="20"/>
                <w:szCs w:val="20"/>
                <w:color w:val="auto"/>
              </w:rPr>
            </w:pPr>
            <w:r>
              <w:rPr>
                <w:rFonts w:ascii="Arial" w:cs="Arial" w:eastAsia="Arial" w:hAnsi="Arial"/>
                <w:sz w:val="16"/>
                <w:szCs w:val="16"/>
                <w:color w:val="auto"/>
              </w:rPr>
              <w:t>Serving as Chairman, President and CEO of EMCOR Group, Inc., a publicly traded mechanical,</w:t>
            </w:r>
          </w:p>
        </w:tc>
        <w:tc>
          <w:tcPr>
            <w:tcW w:w="0" w:type="dxa"/>
            <w:vAlign w:val="bottom"/>
          </w:tcPr>
          <w:p>
            <w:pPr>
              <w:spacing w:after="0"/>
              <w:rPr>
                <w:sz w:val="1"/>
                <w:szCs w:val="1"/>
                <w:color w:val="auto"/>
              </w:rPr>
            </w:pPr>
          </w:p>
        </w:tc>
      </w:tr>
      <w:tr>
        <w:trPr>
          <w:trHeight w:val="175"/>
        </w:trPr>
        <w:tc>
          <w:tcPr>
            <w:tcW w:w="1320" w:type="dxa"/>
            <w:vAlign w:val="bottom"/>
          </w:tcPr>
          <w:p>
            <w:pPr>
              <w:spacing w:after="0" w:line="175" w:lineRule="exact"/>
              <w:rPr>
                <w:sz w:val="20"/>
                <w:szCs w:val="20"/>
                <w:color w:val="auto"/>
              </w:rPr>
            </w:pPr>
            <w:r>
              <w:rPr>
                <w:rFonts w:ascii="Arial" w:cs="Arial" w:eastAsia="Arial" w:hAnsi="Arial"/>
                <w:sz w:val="16"/>
                <w:szCs w:val="16"/>
                <w:color w:val="auto"/>
              </w:rPr>
              <w:t>2006</w:t>
            </w:r>
          </w:p>
        </w:tc>
        <w:tc>
          <w:tcPr>
            <w:tcW w:w="180" w:type="dxa"/>
            <w:vAlign w:val="bottom"/>
            <w:shd w:val="clear" w:color="auto" w:fill="E8EDF5"/>
          </w:tcPr>
          <w:p>
            <w:pPr>
              <w:spacing w:after="0"/>
              <w:rPr>
                <w:sz w:val="15"/>
                <w:szCs w:val="15"/>
                <w:color w:val="auto"/>
              </w:rPr>
            </w:pPr>
          </w:p>
        </w:tc>
        <w:tc>
          <w:tcPr>
            <w:tcW w:w="2500" w:type="dxa"/>
            <w:vAlign w:val="bottom"/>
            <w:shd w:val="clear" w:color="auto" w:fill="E8EDF5"/>
          </w:tcPr>
          <w:p>
            <w:pPr>
              <w:spacing w:after="0"/>
              <w:rPr>
                <w:sz w:val="15"/>
                <w:szCs w:val="15"/>
                <w:color w:val="auto"/>
              </w:rPr>
            </w:pPr>
          </w:p>
        </w:tc>
        <w:tc>
          <w:tcPr>
            <w:tcW w:w="200" w:type="dxa"/>
            <w:vAlign w:val="bottom"/>
          </w:tcPr>
          <w:p>
            <w:pPr>
              <w:spacing w:after="0"/>
              <w:rPr>
                <w:sz w:val="15"/>
                <w:szCs w:val="15"/>
                <w:color w:val="auto"/>
              </w:rPr>
            </w:pPr>
          </w:p>
        </w:tc>
        <w:tc>
          <w:tcPr>
            <w:tcW w:w="7040" w:type="dxa"/>
            <w:vAlign w:val="bottom"/>
          </w:tcPr>
          <w:p>
            <w:pPr>
              <w:ind w:left="60"/>
              <w:spacing w:after="0" w:line="175" w:lineRule="exact"/>
              <w:rPr>
                <w:sz w:val="20"/>
                <w:szCs w:val="20"/>
                <w:color w:val="auto"/>
              </w:rPr>
            </w:pPr>
            <w:r>
              <w:rPr>
                <w:rFonts w:ascii="Arial" w:cs="Arial" w:eastAsia="Arial" w:hAnsi="Arial"/>
                <w:sz w:val="16"/>
                <w:szCs w:val="16"/>
                <w:color w:val="auto"/>
              </w:rPr>
              <w:t>electrical construction, and facilities services company.</w:t>
            </w:r>
          </w:p>
        </w:tc>
        <w:tc>
          <w:tcPr>
            <w:tcW w:w="0" w:type="dxa"/>
            <w:vAlign w:val="bottom"/>
          </w:tcPr>
          <w:p>
            <w:pPr>
              <w:spacing w:after="0"/>
              <w:rPr>
                <w:sz w:val="1"/>
                <w:szCs w:val="1"/>
                <w:color w:val="auto"/>
              </w:rPr>
            </w:pPr>
          </w:p>
        </w:tc>
      </w:tr>
      <w:tr>
        <w:trPr>
          <w:trHeight w:val="189"/>
        </w:trPr>
        <w:tc>
          <w:tcPr>
            <w:tcW w:w="1320" w:type="dxa"/>
            <w:vAlign w:val="bottom"/>
            <w:vMerge w:val="restart"/>
          </w:tcPr>
          <w:p>
            <w:pPr>
              <w:spacing w:after="0"/>
              <w:rPr>
                <w:sz w:val="20"/>
                <w:szCs w:val="20"/>
                <w:color w:val="auto"/>
              </w:rPr>
            </w:pPr>
            <w:r>
              <w:rPr>
                <w:rFonts w:ascii="Arial" w:cs="Arial" w:eastAsia="Arial" w:hAnsi="Arial"/>
                <w:sz w:val="16"/>
                <w:szCs w:val="16"/>
                <w:b w:val="1"/>
                <w:bCs w:val="1"/>
                <w:color w:val="auto"/>
              </w:rPr>
              <w:t>INDEPENDENT</w:t>
            </w:r>
          </w:p>
        </w:tc>
        <w:tc>
          <w:tcPr>
            <w:tcW w:w="2680" w:type="dxa"/>
            <w:vAlign w:val="bottom"/>
            <w:gridSpan w:val="2"/>
            <w:shd w:val="clear" w:color="auto" w:fill="E8EDF5"/>
          </w:tcPr>
          <w:p>
            <w:pPr>
              <w:ind w:left="80"/>
              <w:spacing w:after="0"/>
              <w:rPr>
                <w:sz w:val="20"/>
                <w:szCs w:val="20"/>
                <w:color w:val="auto"/>
              </w:rPr>
            </w:pPr>
            <w:r>
              <w:rPr>
                <w:rFonts w:ascii="Arial" w:cs="Arial" w:eastAsia="Arial" w:hAnsi="Arial"/>
                <w:sz w:val="16"/>
                <w:szCs w:val="16"/>
                <w:b w:val="1"/>
                <w:bCs w:val="1"/>
                <w:color w:val="auto"/>
              </w:rPr>
              <w:t>DIRECTORSHIP:</w:t>
            </w:r>
          </w:p>
        </w:tc>
        <w:tc>
          <w:tcPr>
            <w:tcW w:w="200" w:type="dxa"/>
            <w:vAlign w:val="bottom"/>
          </w:tcPr>
          <w:p>
            <w:pPr>
              <w:ind w:left="100"/>
              <w:spacing w:after="0"/>
              <w:rPr>
                <w:sz w:val="20"/>
                <w:szCs w:val="20"/>
                <w:color w:val="auto"/>
              </w:rPr>
            </w:pPr>
            <w:r>
              <w:rPr>
                <w:rFonts w:ascii="Arial" w:cs="Arial" w:eastAsia="Arial" w:hAnsi="Arial"/>
                <w:sz w:val="16"/>
                <w:szCs w:val="16"/>
                <w:color w:val="2F8B9E"/>
              </w:rPr>
              <w:t>•</w:t>
            </w:r>
          </w:p>
        </w:tc>
        <w:tc>
          <w:tcPr>
            <w:tcW w:w="7040" w:type="dxa"/>
            <w:vAlign w:val="bottom"/>
          </w:tcPr>
          <w:p>
            <w:pPr>
              <w:ind w:left="60"/>
              <w:spacing w:after="0"/>
              <w:rPr>
                <w:sz w:val="20"/>
                <w:szCs w:val="20"/>
                <w:color w:val="auto"/>
              </w:rPr>
            </w:pPr>
            <w:r>
              <w:rPr>
                <w:rFonts w:ascii="Arial" w:cs="Arial" w:eastAsia="Arial" w:hAnsi="Arial"/>
                <w:sz w:val="16"/>
                <w:szCs w:val="16"/>
                <w:color w:val="auto"/>
              </w:rPr>
              <w:t>Extensive experience in manufacturing and distribution having served as President, North</w:t>
            </w:r>
          </w:p>
        </w:tc>
        <w:tc>
          <w:tcPr>
            <w:tcW w:w="0" w:type="dxa"/>
            <w:vAlign w:val="bottom"/>
          </w:tcPr>
          <w:p>
            <w:pPr>
              <w:spacing w:after="0"/>
              <w:rPr>
                <w:sz w:val="1"/>
                <w:szCs w:val="1"/>
                <w:color w:val="auto"/>
              </w:rPr>
            </w:pPr>
          </w:p>
        </w:tc>
      </w:tr>
      <w:tr>
        <w:trPr>
          <w:trHeight w:val="142"/>
        </w:trPr>
        <w:tc>
          <w:tcPr>
            <w:tcW w:w="1320" w:type="dxa"/>
            <w:vAlign w:val="bottom"/>
            <w:vMerge w:val="continue"/>
          </w:tcPr>
          <w:p>
            <w:pPr>
              <w:spacing w:after="0"/>
              <w:rPr>
                <w:sz w:val="12"/>
                <w:szCs w:val="12"/>
                <w:color w:val="auto"/>
              </w:rPr>
            </w:pPr>
          </w:p>
        </w:tc>
        <w:tc>
          <w:tcPr>
            <w:tcW w:w="180" w:type="dxa"/>
            <w:vAlign w:val="bottom"/>
            <w:vMerge w:val="restart"/>
            <w:shd w:val="clear" w:color="auto" w:fill="E8EDF5"/>
          </w:tcPr>
          <w:p>
            <w:pPr>
              <w:ind w:left="80"/>
              <w:spacing w:after="0"/>
              <w:rPr>
                <w:sz w:val="20"/>
                <w:szCs w:val="20"/>
                <w:color w:val="auto"/>
              </w:rPr>
            </w:pPr>
            <w:r>
              <w:rPr>
                <w:rFonts w:ascii="Arial" w:cs="Arial" w:eastAsia="Arial" w:hAnsi="Arial"/>
                <w:sz w:val="16"/>
                <w:szCs w:val="16"/>
                <w:color w:val="2F8B9E"/>
              </w:rPr>
              <w:t>•</w:t>
            </w:r>
          </w:p>
        </w:tc>
        <w:tc>
          <w:tcPr>
            <w:tcW w:w="2500" w:type="dxa"/>
            <w:vAlign w:val="bottom"/>
            <w:vMerge w:val="restart"/>
            <w:shd w:val="clear" w:color="auto" w:fill="E8EDF5"/>
          </w:tcPr>
          <w:p>
            <w:pPr>
              <w:ind w:left="60"/>
              <w:spacing w:after="0"/>
              <w:rPr>
                <w:sz w:val="20"/>
                <w:szCs w:val="20"/>
                <w:color w:val="auto"/>
              </w:rPr>
            </w:pPr>
            <w:r>
              <w:rPr>
                <w:rFonts w:ascii="Arial" w:cs="Arial" w:eastAsia="Arial" w:hAnsi="Arial"/>
                <w:sz w:val="16"/>
                <w:szCs w:val="16"/>
                <w:color w:val="auto"/>
              </w:rPr>
              <w:t>EMCOR Group, Inc., since 2009</w:t>
            </w:r>
          </w:p>
        </w:tc>
        <w:tc>
          <w:tcPr>
            <w:tcW w:w="200" w:type="dxa"/>
            <w:vAlign w:val="bottom"/>
          </w:tcPr>
          <w:p>
            <w:pPr>
              <w:spacing w:after="0"/>
              <w:rPr>
                <w:sz w:val="12"/>
                <w:szCs w:val="12"/>
                <w:color w:val="auto"/>
              </w:rPr>
            </w:pPr>
          </w:p>
        </w:tc>
        <w:tc>
          <w:tcPr>
            <w:tcW w:w="7040" w:type="dxa"/>
            <w:vAlign w:val="bottom"/>
            <w:vMerge w:val="restart"/>
          </w:tcPr>
          <w:p>
            <w:pPr>
              <w:ind w:left="60"/>
              <w:spacing w:after="0"/>
              <w:rPr>
                <w:sz w:val="20"/>
                <w:szCs w:val="20"/>
                <w:color w:val="auto"/>
              </w:rPr>
            </w:pPr>
            <w:r>
              <w:rPr>
                <w:rFonts w:ascii="Arial" w:cs="Arial" w:eastAsia="Arial" w:hAnsi="Arial"/>
                <w:sz w:val="16"/>
                <w:szCs w:val="16"/>
                <w:color w:val="auto"/>
              </w:rPr>
              <w:t>American Distribution and Aftermarket and President, Commercial Systems and Services of</w:t>
            </w:r>
          </w:p>
        </w:tc>
        <w:tc>
          <w:tcPr>
            <w:tcW w:w="0" w:type="dxa"/>
            <w:vAlign w:val="bottom"/>
          </w:tcPr>
          <w:p>
            <w:pPr>
              <w:spacing w:after="0"/>
              <w:rPr>
                <w:sz w:val="1"/>
                <w:szCs w:val="1"/>
                <w:color w:val="auto"/>
              </w:rPr>
            </w:pPr>
          </w:p>
        </w:tc>
      </w:tr>
      <w:tr>
        <w:trPr>
          <w:trHeight w:val="47"/>
        </w:trPr>
        <w:tc>
          <w:tcPr>
            <w:tcW w:w="1320" w:type="dxa"/>
            <w:vAlign w:val="bottom"/>
          </w:tcPr>
          <w:p>
            <w:pPr>
              <w:spacing w:after="0"/>
              <w:rPr>
                <w:sz w:val="4"/>
                <w:szCs w:val="4"/>
                <w:color w:val="auto"/>
              </w:rPr>
            </w:pPr>
          </w:p>
        </w:tc>
        <w:tc>
          <w:tcPr>
            <w:tcW w:w="180" w:type="dxa"/>
            <w:vAlign w:val="bottom"/>
            <w:vMerge w:val="continue"/>
            <w:shd w:val="clear" w:color="auto" w:fill="E8EDF5"/>
          </w:tcPr>
          <w:p>
            <w:pPr>
              <w:spacing w:after="0"/>
              <w:rPr>
                <w:sz w:val="4"/>
                <w:szCs w:val="4"/>
                <w:color w:val="auto"/>
              </w:rPr>
            </w:pPr>
          </w:p>
        </w:tc>
        <w:tc>
          <w:tcPr>
            <w:tcW w:w="2500" w:type="dxa"/>
            <w:vAlign w:val="bottom"/>
            <w:vMerge w:val="continue"/>
            <w:shd w:val="clear" w:color="auto" w:fill="E8EDF5"/>
          </w:tcPr>
          <w:p>
            <w:pPr>
              <w:spacing w:after="0"/>
              <w:rPr>
                <w:sz w:val="4"/>
                <w:szCs w:val="4"/>
                <w:color w:val="auto"/>
              </w:rPr>
            </w:pPr>
          </w:p>
        </w:tc>
        <w:tc>
          <w:tcPr>
            <w:tcW w:w="200" w:type="dxa"/>
            <w:vAlign w:val="bottom"/>
          </w:tcPr>
          <w:p>
            <w:pPr>
              <w:spacing w:after="0"/>
              <w:rPr>
                <w:sz w:val="4"/>
                <w:szCs w:val="4"/>
                <w:color w:val="auto"/>
              </w:rPr>
            </w:pPr>
          </w:p>
        </w:tc>
        <w:tc>
          <w:tcPr>
            <w:tcW w:w="7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line="176" w:lineRule="exact"/>
              <w:rPr>
                <w:sz w:val="20"/>
                <w:szCs w:val="20"/>
                <w:color w:val="auto"/>
              </w:rPr>
            </w:pPr>
            <w:r>
              <w:rPr>
                <w:rFonts w:ascii="Arial" w:cs="Arial" w:eastAsia="Arial" w:hAnsi="Arial"/>
                <w:sz w:val="16"/>
                <w:szCs w:val="16"/>
                <w:b w:val="1"/>
                <w:bCs w:val="1"/>
                <w:color w:val="auto"/>
              </w:rPr>
              <w:t>LEAD</w:t>
            </w:r>
          </w:p>
        </w:tc>
        <w:tc>
          <w:tcPr>
            <w:tcW w:w="180" w:type="dxa"/>
            <w:vAlign w:val="bottom"/>
            <w:shd w:val="clear" w:color="auto" w:fill="E8EDF5"/>
          </w:tcPr>
          <w:p>
            <w:pPr>
              <w:spacing w:after="0"/>
              <w:rPr>
                <w:sz w:val="15"/>
                <w:szCs w:val="15"/>
                <w:color w:val="auto"/>
              </w:rPr>
            </w:pPr>
          </w:p>
        </w:tc>
        <w:tc>
          <w:tcPr>
            <w:tcW w:w="2500" w:type="dxa"/>
            <w:vAlign w:val="bottom"/>
            <w:shd w:val="clear" w:color="auto" w:fill="E8EDF5"/>
          </w:tcPr>
          <w:p>
            <w:pPr>
              <w:spacing w:after="0"/>
              <w:rPr>
                <w:sz w:val="15"/>
                <w:szCs w:val="15"/>
                <w:color w:val="auto"/>
              </w:rPr>
            </w:pPr>
          </w:p>
        </w:tc>
        <w:tc>
          <w:tcPr>
            <w:tcW w:w="200" w:type="dxa"/>
            <w:vAlign w:val="bottom"/>
          </w:tcPr>
          <w:p>
            <w:pPr>
              <w:spacing w:after="0"/>
              <w:rPr>
                <w:sz w:val="15"/>
                <w:szCs w:val="15"/>
                <w:color w:val="auto"/>
              </w:rPr>
            </w:pPr>
          </w:p>
        </w:tc>
        <w:tc>
          <w:tcPr>
            <w:tcW w:w="7040" w:type="dxa"/>
            <w:vAlign w:val="bottom"/>
          </w:tcPr>
          <w:p>
            <w:pPr>
              <w:ind w:left="60"/>
              <w:spacing w:after="0" w:line="176" w:lineRule="exact"/>
              <w:rPr>
                <w:sz w:val="20"/>
                <w:szCs w:val="20"/>
                <w:color w:val="auto"/>
              </w:rPr>
            </w:pPr>
            <w:r>
              <w:rPr>
                <w:rFonts w:ascii="Arial" w:cs="Arial" w:eastAsia="Arial" w:hAnsi="Arial"/>
                <w:sz w:val="16"/>
                <w:szCs w:val="16"/>
                <w:color w:val="auto"/>
              </w:rPr>
              <w:t>Carrier Corporation, a subsidiary of United Technologies Corporation.</w:t>
            </w:r>
          </w:p>
        </w:tc>
        <w:tc>
          <w:tcPr>
            <w:tcW w:w="0" w:type="dxa"/>
            <w:vAlign w:val="bottom"/>
          </w:tcPr>
          <w:p>
            <w:pPr>
              <w:spacing w:after="0"/>
              <w:rPr>
                <w:sz w:val="1"/>
                <w:szCs w:val="1"/>
                <w:color w:val="auto"/>
              </w:rPr>
            </w:pPr>
          </w:p>
        </w:tc>
      </w:tr>
      <w:tr>
        <w:trPr>
          <w:trHeight w:val="189"/>
        </w:trPr>
        <w:tc>
          <w:tcPr>
            <w:tcW w:w="1320" w:type="dxa"/>
            <w:vAlign w:val="bottom"/>
          </w:tcPr>
          <w:p>
            <w:pPr>
              <w:spacing w:after="0"/>
              <w:rPr>
                <w:sz w:val="20"/>
                <w:szCs w:val="20"/>
                <w:color w:val="auto"/>
              </w:rPr>
            </w:pPr>
            <w:r>
              <w:rPr>
                <w:rFonts w:ascii="Arial" w:cs="Arial" w:eastAsia="Arial" w:hAnsi="Arial"/>
                <w:sz w:val="16"/>
                <w:szCs w:val="16"/>
                <w:b w:val="1"/>
                <w:bCs w:val="1"/>
                <w:color w:val="auto"/>
              </w:rPr>
              <w:t>DIRECTOR</w:t>
            </w:r>
          </w:p>
        </w:tc>
        <w:tc>
          <w:tcPr>
            <w:tcW w:w="180" w:type="dxa"/>
            <w:vAlign w:val="bottom"/>
            <w:shd w:val="clear" w:color="auto" w:fill="E8EDF5"/>
          </w:tcPr>
          <w:p>
            <w:pPr>
              <w:spacing w:after="0"/>
              <w:rPr>
                <w:sz w:val="16"/>
                <w:szCs w:val="16"/>
                <w:color w:val="auto"/>
              </w:rPr>
            </w:pPr>
          </w:p>
        </w:tc>
        <w:tc>
          <w:tcPr>
            <w:tcW w:w="2500" w:type="dxa"/>
            <w:vAlign w:val="bottom"/>
            <w:shd w:val="clear" w:color="auto" w:fill="E8EDF5"/>
          </w:tcPr>
          <w:p>
            <w:pPr>
              <w:spacing w:after="0"/>
              <w:rPr>
                <w:sz w:val="16"/>
                <w:szCs w:val="16"/>
                <w:color w:val="auto"/>
              </w:rPr>
            </w:pPr>
          </w:p>
        </w:tc>
        <w:tc>
          <w:tcPr>
            <w:tcW w:w="200" w:type="dxa"/>
            <w:vAlign w:val="bottom"/>
          </w:tcPr>
          <w:p>
            <w:pPr>
              <w:ind w:left="100"/>
              <w:spacing w:after="0"/>
              <w:rPr>
                <w:sz w:val="20"/>
                <w:szCs w:val="20"/>
                <w:color w:val="auto"/>
              </w:rPr>
            </w:pPr>
            <w:r>
              <w:rPr>
                <w:rFonts w:ascii="Arial" w:cs="Arial" w:eastAsia="Arial" w:hAnsi="Arial"/>
                <w:sz w:val="16"/>
                <w:szCs w:val="16"/>
                <w:color w:val="2F8B9E"/>
              </w:rPr>
              <w:t>•</w:t>
            </w:r>
          </w:p>
        </w:tc>
        <w:tc>
          <w:tcPr>
            <w:tcW w:w="7040" w:type="dxa"/>
            <w:vAlign w:val="bottom"/>
          </w:tcPr>
          <w:p>
            <w:pPr>
              <w:ind w:left="60"/>
              <w:spacing w:after="0"/>
              <w:rPr>
                <w:sz w:val="20"/>
                <w:szCs w:val="20"/>
                <w:color w:val="auto"/>
              </w:rPr>
            </w:pPr>
            <w:r>
              <w:rPr>
                <w:rFonts w:ascii="Arial" w:cs="Arial" w:eastAsia="Arial" w:hAnsi="Arial"/>
                <w:sz w:val="16"/>
                <w:szCs w:val="16"/>
                <w:color w:val="auto"/>
              </w:rPr>
              <w:t>Experience as an engagement manager with McKinsey &amp; Company, a prominent management</w:t>
            </w:r>
          </w:p>
        </w:tc>
        <w:tc>
          <w:tcPr>
            <w:tcW w:w="0" w:type="dxa"/>
            <w:vAlign w:val="bottom"/>
          </w:tcPr>
          <w:p>
            <w:pPr>
              <w:spacing w:after="0"/>
              <w:rPr>
                <w:sz w:val="1"/>
                <w:szCs w:val="1"/>
                <w:color w:val="auto"/>
              </w:rPr>
            </w:pPr>
          </w:p>
        </w:tc>
      </w:tr>
      <w:tr>
        <w:trPr>
          <w:trHeight w:val="215"/>
        </w:trPr>
        <w:tc>
          <w:tcPr>
            <w:tcW w:w="1320" w:type="dxa"/>
            <w:vAlign w:val="bottom"/>
          </w:tcPr>
          <w:p>
            <w:pPr>
              <w:spacing w:after="0"/>
              <w:rPr>
                <w:sz w:val="18"/>
                <w:szCs w:val="18"/>
                <w:color w:val="auto"/>
              </w:rPr>
            </w:pPr>
          </w:p>
        </w:tc>
        <w:tc>
          <w:tcPr>
            <w:tcW w:w="180" w:type="dxa"/>
            <w:vAlign w:val="bottom"/>
            <w:shd w:val="clear" w:color="auto" w:fill="E8EDF5"/>
          </w:tcPr>
          <w:p>
            <w:pPr>
              <w:spacing w:after="0"/>
              <w:rPr>
                <w:sz w:val="18"/>
                <w:szCs w:val="18"/>
                <w:color w:val="auto"/>
              </w:rPr>
            </w:pPr>
          </w:p>
        </w:tc>
        <w:tc>
          <w:tcPr>
            <w:tcW w:w="2500" w:type="dxa"/>
            <w:vAlign w:val="bottom"/>
            <w:shd w:val="clear" w:color="auto" w:fill="E8EDF5"/>
          </w:tcPr>
          <w:p>
            <w:pPr>
              <w:spacing w:after="0"/>
              <w:rPr>
                <w:sz w:val="18"/>
                <w:szCs w:val="18"/>
                <w:color w:val="auto"/>
              </w:rPr>
            </w:pPr>
          </w:p>
        </w:tc>
        <w:tc>
          <w:tcPr>
            <w:tcW w:w="200" w:type="dxa"/>
            <w:vAlign w:val="bottom"/>
          </w:tcPr>
          <w:p>
            <w:pPr>
              <w:spacing w:after="0"/>
              <w:rPr>
                <w:sz w:val="18"/>
                <w:szCs w:val="18"/>
                <w:color w:val="auto"/>
              </w:rPr>
            </w:pPr>
          </w:p>
        </w:tc>
        <w:tc>
          <w:tcPr>
            <w:tcW w:w="7040" w:type="dxa"/>
            <w:vAlign w:val="bottom"/>
          </w:tcPr>
          <w:p>
            <w:pPr>
              <w:ind w:left="60"/>
              <w:spacing w:after="0"/>
              <w:rPr>
                <w:sz w:val="20"/>
                <w:szCs w:val="20"/>
                <w:color w:val="auto"/>
              </w:rPr>
            </w:pPr>
            <w:r>
              <w:rPr>
                <w:rFonts w:ascii="Arial" w:cs="Arial" w:eastAsia="Arial" w:hAnsi="Arial"/>
                <w:sz w:val="16"/>
                <w:szCs w:val="16"/>
                <w:color w:val="auto"/>
              </w:rPr>
              <w:t>consulting firm.</w:t>
            </w:r>
          </w:p>
        </w:tc>
        <w:tc>
          <w:tcPr>
            <w:tcW w:w="0" w:type="dxa"/>
            <w:vAlign w:val="bottom"/>
          </w:tcPr>
          <w:p>
            <w:pPr>
              <w:spacing w:after="0"/>
              <w:rPr>
                <w:sz w:val="1"/>
                <w:szCs w:val="1"/>
                <w:color w:val="auto"/>
              </w:rPr>
            </w:pPr>
          </w:p>
        </w:tc>
      </w:tr>
      <w:tr>
        <w:trPr>
          <w:trHeight w:val="69"/>
        </w:trPr>
        <w:tc>
          <w:tcPr>
            <w:tcW w:w="1320" w:type="dxa"/>
            <w:vAlign w:val="bottom"/>
          </w:tcPr>
          <w:p>
            <w:pPr>
              <w:spacing w:after="0"/>
              <w:rPr>
                <w:sz w:val="5"/>
                <w:szCs w:val="5"/>
                <w:color w:val="auto"/>
              </w:rPr>
            </w:pPr>
          </w:p>
        </w:tc>
        <w:tc>
          <w:tcPr>
            <w:tcW w:w="180" w:type="dxa"/>
            <w:vAlign w:val="bottom"/>
            <w:tcBorders>
              <w:bottom w:val="single" w:sz="8" w:color="2F8B9E"/>
            </w:tcBorders>
            <w:shd w:val="clear" w:color="auto" w:fill="E8EDF5"/>
          </w:tcPr>
          <w:p>
            <w:pPr>
              <w:spacing w:after="0"/>
              <w:rPr>
                <w:sz w:val="5"/>
                <w:szCs w:val="5"/>
                <w:color w:val="auto"/>
              </w:rPr>
            </w:pPr>
          </w:p>
        </w:tc>
        <w:tc>
          <w:tcPr>
            <w:tcW w:w="2500" w:type="dxa"/>
            <w:vAlign w:val="bottom"/>
            <w:tcBorders>
              <w:bottom w:val="single" w:sz="8" w:color="2F8B9E"/>
            </w:tcBorders>
            <w:shd w:val="clear" w:color="auto" w:fill="E8EDF5"/>
          </w:tcPr>
          <w:p>
            <w:pPr>
              <w:spacing w:after="0"/>
              <w:rPr>
                <w:sz w:val="5"/>
                <w:szCs w:val="5"/>
                <w:color w:val="auto"/>
              </w:rPr>
            </w:pPr>
          </w:p>
        </w:tc>
        <w:tc>
          <w:tcPr>
            <w:tcW w:w="200" w:type="dxa"/>
            <w:vAlign w:val="bottom"/>
            <w:tcBorders>
              <w:bottom w:val="single" w:sz="8" w:color="2F8B9E"/>
            </w:tcBorders>
          </w:tcPr>
          <w:p>
            <w:pPr>
              <w:spacing w:after="0"/>
              <w:rPr>
                <w:sz w:val="5"/>
                <w:szCs w:val="5"/>
                <w:color w:val="auto"/>
              </w:rPr>
            </w:pPr>
          </w:p>
        </w:tc>
        <w:tc>
          <w:tcPr>
            <w:tcW w:w="7040" w:type="dxa"/>
            <w:vAlign w:val="bottom"/>
            <w:tcBorders>
              <w:bottom w:val="single" w:sz="8" w:color="2F8B9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320"/>
        <w:spacing w:after="0" w:line="256" w:lineRule="auto"/>
        <w:rPr>
          <w:sz w:val="20"/>
          <w:szCs w:val="20"/>
          <w:color w:val="auto"/>
        </w:rPr>
      </w:pPr>
      <w:r>
        <w:rPr>
          <w:rFonts w:ascii="Arial" w:cs="Arial" w:eastAsia="Arial" w:hAnsi="Arial"/>
          <w:sz w:val="16"/>
          <w:szCs w:val="16"/>
          <w:color w:val="auto"/>
        </w:rPr>
        <w:t>Mr. Guzzi has served as Chairman, President and Chief Executive Officer of EMCOR Group, Inc. (a publicly traded mechanical, electrical construction, and facilities services company) since June 2018. Previously, he was President and Chief Executive Officer and a Director of EMCOR Group, Inc. from January 2011 to June 2018 and President and Chief Operating Officer from 2004 to 2010. He also served as President, North American Distribution and Aftermarket of Carrier Corporation (HVAC and refrigeration systems), a subsidiary of United Technologies Corporation from 2001 to 2004 and President, Commercial Systems and Services in 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71525" cy="7715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217170</wp:posOffset>
            </wp:positionV>
            <wp:extent cx="1311275" cy="2743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311275" cy="27432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73</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2021</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1383665</wp:posOffset>
            </wp:positionV>
            <wp:extent cx="265430" cy="2743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6543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Rhett A. Hernandez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6300470" cy="190309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00470" cy="1903095"/>
                    </a:xfrm>
                    <a:prstGeom prst="rect">
                      <a:avLst/>
                    </a:prstGeom>
                    <a:noFill/>
                  </pic:spPr>
                </pic:pic>
              </a:graphicData>
            </a:graphic>
          </wp:anchor>
        </w:drawing>
      </w:r>
    </w:p>
    <w:p>
      <w:pPr>
        <w:spacing w:after="0" w:line="274"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COMMITTEES:</w:t>
            </w:r>
          </w:p>
        </w:tc>
        <w:tc>
          <w:tcPr>
            <w:tcW w:w="7760" w:type="dxa"/>
            <w:vAlign w:val="bottom"/>
          </w:tcPr>
          <w:p>
            <w:pPr>
              <w:ind w:left="740"/>
              <w:spacing w:after="0"/>
              <w:rPr>
                <w:sz w:val="20"/>
                <w:szCs w:val="20"/>
                <w:color w:val="auto"/>
              </w:rPr>
            </w:pPr>
            <w:r>
              <w:rPr>
                <w:rFonts w:ascii="Arial" w:cs="Arial" w:eastAsia="Arial" w:hAnsi="Arial"/>
                <w:sz w:val="16"/>
                <w:szCs w:val="16"/>
                <w:b w:val="1"/>
                <w:bCs w:val="1"/>
                <w:color w:val="auto"/>
              </w:rPr>
              <w:t>QUALIFICATIONS:</w:t>
            </w: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F8B9E"/>
              </w:rPr>
              <w:t>•</w:t>
            </w:r>
          </w:p>
        </w:tc>
        <w:tc>
          <w:tcPr>
            <w:tcW w:w="1920" w:type="dxa"/>
            <w:vAlign w:val="bottom"/>
          </w:tcPr>
          <w:p>
            <w:pPr>
              <w:ind w:left="60"/>
              <w:spacing w:after="0"/>
              <w:rPr>
                <w:sz w:val="20"/>
                <w:szCs w:val="20"/>
                <w:color w:val="auto"/>
              </w:rPr>
            </w:pPr>
            <w:r>
              <w:rPr>
                <w:rFonts w:ascii="Arial" w:cs="Arial" w:eastAsia="Arial" w:hAnsi="Arial"/>
                <w:sz w:val="16"/>
                <w:szCs w:val="16"/>
                <w:color w:val="auto"/>
              </w:rPr>
              <w:t>Audit</w:t>
            </w:r>
          </w:p>
        </w:tc>
        <w:tc>
          <w:tcPr>
            <w:tcW w:w="7760" w:type="dxa"/>
            <w:vAlign w:val="bottom"/>
          </w:tcPr>
          <w:p>
            <w:pPr>
              <w:spacing w:after="0"/>
              <w:rPr>
                <w:sz w:val="16"/>
                <w:szCs w:val="16"/>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F8B9E"/>
              </w:rPr>
              <w:t>•</w:t>
            </w:r>
          </w:p>
        </w:tc>
        <w:tc>
          <w:tcPr>
            <w:tcW w:w="1920" w:type="dxa"/>
            <w:vAlign w:val="bottom"/>
          </w:tcPr>
          <w:p>
            <w:pPr>
              <w:ind w:left="60"/>
              <w:spacing w:after="0"/>
              <w:rPr>
                <w:sz w:val="20"/>
                <w:szCs w:val="20"/>
                <w:color w:val="auto"/>
              </w:rPr>
            </w:pPr>
            <w:r>
              <w:rPr>
                <w:rFonts w:ascii="Arial" w:cs="Arial" w:eastAsia="Arial" w:hAnsi="Arial"/>
                <w:sz w:val="16"/>
                <w:szCs w:val="16"/>
                <w:color w:val="auto"/>
              </w:rPr>
              <w:t>Finance</w:t>
            </w:r>
          </w:p>
        </w:tc>
        <w:tc>
          <w:tcPr>
            <w:tcW w:w="7760" w:type="dxa"/>
            <w:vAlign w:val="bottom"/>
          </w:tcPr>
          <w:p>
            <w:pPr>
              <w:ind w:left="740"/>
              <w:spacing w:after="0"/>
              <w:rPr>
                <w:sz w:val="20"/>
                <w:szCs w:val="20"/>
                <w:color w:val="auto"/>
              </w:rPr>
            </w:pPr>
            <w:r>
              <w:rPr>
                <w:rFonts w:ascii="Arial" w:cs="Arial" w:eastAsia="Arial" w:hAnsi="Arial"/>
                <w:sz w:val="16"/>
                <w:szCs w:val="16"/>
                <w:b w:val="1"/>
                <w:bCs w:val="1"/>
                <w:color w:val="auto"/>
              </w:rPr>
              <w:t>Mr. Hernandez brings to the Board significant cybersecurity expertise and strong strategic</w:t>
            </w:r>
          </w:p>
        </w:tc>
      </w:tr>
      <w:tr>
        <w:trPr>
          <w:trHeight w:val="189"/>
        </w:trPr>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7760" w:type="dxa"/>
            <w:vAlign w:val="bottom"/>
          </w:tcPr>
          <w:p>
            <w:pPr>
              <w:ind w:left="740"/>
              <w:spacing w:after="0"/>
              <w:rPr>
                <w:sz w:val="20"/>
                <w:szCs w:val="20"/>
                <w:color w:val="auto"/>
              </w:rPr>
            </w:pPr>
            <w:r>
              <w:rPr>
                <w:rFonts w:ascii="Arial" w:cs="Arial" w:eastAsia="Arial" w:hAnsi="Arial"/>
                <w:sz w:val="16"/>
                <w:szCs w:val="16"/>
                <w:b w:val="1"/>
                <w:bCs w:val="1"/>
                <w:color w:val="auto"/>
              </w:rPr>
              <w:t>and operational leadership experience as a retired Lieutenant General of the United States</w:t>
            </w:r>
          </w:p>
        </w:tc>
      </w:tr>
      <w:tr>
        <w:trPr>
          <w:trHeight w:val="205"/>
        </w:trPr>
        <w:tc>
          <w:tcPr>
            <w:tcW w:w="2020" w:type="dxa"/>
            <w:vAlign w:val="bottom"/>
            <w:gridSpan w:val="2"/>
          </w:tcPr>
          <w:p>
            <w:pPr>
              <w:spacing w:after="0"/>
              <w:rPr>
                <w:sz w:val="20"/>
                <w:szCs w:val="20"/>
                <w:color w:val="auto"/>
              </w:rPr>
            </w:pPr>
            <w:r>
              <w:rPr>
                <w:rFonts w:ascii="Arial" w:cs="Arial" w:eastAsia="Arial" w:hAnsi="Arial"/>
                <w:sz w:val="16"/>
                <w:szCs w:val="16"/>
                <w:b w:val="1"/>
                <w:bCs w:val="1"/>
                <w:color w:val="auto"/>
              </w:rPr>
              <w:t>DIRECTORSHIP:</w:t>
            </w:r>
          </w:p>
        </w:tc>
        <w:tc>
          <w:tcPr>
            <w:tcW w:w="7760" w:type="dxa"/>
            <w:vAlign w:val="bottom"/>
          </w:tcPr>
          <w:p>
            <w:pPr>
              <w:ind w:left="740"/>
              <w:spacing w:after="0"/>
              <w:rPr>
                <w:sz w:val="20"/>
                <w:szCs w:val="20"/>
                <w:color w:val="auto"/>
              </w:rPr>
            </w:pPr>
            <w:r>
              <w:rPr>
                <w:rFonts w:ascii="Arial" w:cs="Arial" w:eastAsia="Arial" w:hAnsi="Arial"/>
                <w:sz w:val="16"/>
                <w:szCs w:val="16"/>
                <w:b w:val="1"/>
                <w:bCs w:val="1"/>
                <w:color w:val="auto"/>
              </w:rPr>
              <w:t>Army, including:</w:t>
            </w:r>
          </w:p>
        </w:tc>
      </w:tr>
    </w:tbl>
    <w:p>
      <w:pPr>
        <w:ind w:left="240" w:hanging="153"/>
        <w:spacing w:after="0"/>
        <w:tabs>
          <w:tab w:leader="none" w:pos="240" w:val="left"/>
        </w:tabs>
        <w:numPr>
          <w:ilvl w:val="0"/>
          <w:numId w:val="10"/>
        </w:numPr>
        <w:rPr>
          <w:rFonts w:ascii="Arial" w:cs="Arial" w:eastAsia="Arial" w:hAnsi="Arial"/>
          <w:sz w:val="16"/>
          <w:szCs w:val="16"/>
          <w:color w:val="2F8B9E"/>
        </w:rPr>
      </w:pPr>
      <w:r>
        <w:rPr>
          <w:rFonts w:ascii="Arial" w:cs="Arial" w:eastAsia="Arial" w:hAnsi="Arial"/>
          <w:sz w:val="16"/>
          <w:szCs w:val="16"/>
          <w:color w:val="auto"/>
        </w:rPr>
        <w:t>USAA Federal Savings Bank,</w:t>
      </w:r>
    </w:p>
    <w:p>
      <w:pPr>
        <w:ind w:left="240"/>
        <w:spacing w:after="0" w:line="235" w:lineRule="auto"/>
        <w:tabs>
          <w:tab w:leader="none" w:pos="2820" w:val="left"/>
        </w:tabs>
        <w:rPr>
          <w:sz w:val="20"/>
          <w:szCs w:val="20"/>
          <w:color w:val="auto"/>
        </w:rPr>
      </w:pPr>
      <w:r>
        <w:rPr>
          <w:rFonts w:ascii="Arial" w:cs="Arial" w:eastAsia="Arial" w:hAnsi="Arial"/>
          <w:sz w:val="16"/>
          <w:szCs w:val="16"/>
          <w:color w:val="auto"/>
        </w:rPr>
        <w:t>since 2019</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President and founder of CyberLens, LLC, a cybersecurity consulting company.</w:t>
      </w:r>
    </w:p>
    <w:p>
      <w:pPr>
        <w:ind w:left="3000" w:hanging="168"/>
        <w:spacing w:after="0" w:line="229" w:lineRule="auto"/>
        <w:tabs>
          <w:tab w:leader="none" w:pos="3000" w:val="left"/>
        </w:tabs>
        <w:numPr>
          <w:ilvl w:val="0"/>
          <w:numId w:val="11"/>
        </w:numPr>
        <w:rPr>
          <w:rFonts w:ascii="Arial" w:cs="Arial" w:eastAsia="Arial" w:hAnsi="Arial"/>
          <w:sz w:val="16"/>
          <w:szCs w:val="16"/>
          <w:color w:val="2F8B9E"/>
        </w:rPr>
      </w:pPr>
      <w:r>
        <w:rPr>
          <w:rFonts w:ascii="Arial" w:cs="Arial" w:eastAsia="Arial" w:hAnsi="Arial"/>
          <w:sz w:val="16"/>
          <w:szCs w:val="16"/>
          <w:color w:val="auto"/>
        </w:rPr>
        <w:t>Former Cyber Chair for the United States Military Academy.</w:t>
      </w:r>
    </w:p>
    <w:p>
      <w:pPr>
        <w:jc w:val="both"/>
        <w:ind w:left="3000" w:right="60" w:hanging="168"/>
        <w:spacing w:after="0" w:line="246" w:lineRule="auto"/>
        <w:tabs>
          <w:tab w:leader="none" w:pos="3000" w:val="left"/>
        </w:tabs>
        <w:numPr>
          <w:ilvl w:val="0"/>
          <w:numId w:val="11"/>
        </w:numPr>
        <w:rPr>
          <w:rFonts w:ascii="Arial" w:cs="Arial" w:eastAsia="Arial" w:hAnsi="Arial"/>
          <w:sz w:val="16"/>
          <w:szCs w:val="16"/>
          <w:color w:val="2F8B9E"/>
        </w:rPr>
      </w:pPr>
      <w:r>
        <w:rPr>
          <w:rFonts w:ascii="Arial" w:cs="Arial" w:eastAsia="Arial" w:hAnsi="Arial"/>
          <w:sz w:val="16"/>
          <w:szCs w:val="16"/>
          <w:color w:val="auto"/>
        </w:rPr>
        <w:t>Served as the first commander of the United States Army’s Cyber Command/2nd US Army (ARCYBER) where he was responsible for the operations, defense and risk management of the Army’s networks, systems, and cybersecurity organization.</w:t>
      </w:r>
    </w:p>
    <w:p>
      <w:pPr>
        <w:spacing w:after="0" w:line="1" w:lineRule="exact"/>
        <w:rPr>
          <w:rFonts w:ascii="Arial" w:cs="Arial" w:eastAsia="Arial" w:hAnsi="Arial"/>
          <w:sz w:val="16"/>
          <w:szCs w:val="16"/>
          <w:color w:val="2F8B9E"/>
        </w:rPr>
      </w:pPr>
    </w:p>
    <w:p>
      <w:pPr>
        <w:jc w:val="both"/>
        <w:ind w:left="3000" w:right="60" w:hanging="168"/>
        <w:spacing w:after="0"/>
        <w:tabs>
          <w:tab w:leader="none" w:pos="3000" w:val="left"/>
        </w:tabs>
        <w:numPr>
          <w:ilvl w:val="0"/>
          <w:numId w:val="11"/>
        </w:numPr>
        <w:rPr>
          <w:rFonts w:ascii="Arial" w:cs="Arial" w:eastAsia="Arial" w:hAnsi="Arial"/>
          <w:sz w:val="16"/>
          <w:szCs w:val="16"/>
          <w:color w:val="2F8B9E"/>
        </w:rPr>
      </w:pPr>
      <w:r>
        <w:rPr>
          <w:rFonts w:ascii="Arial" w:cs="Arial" w:eastAsia="Arial" w:hAnsi="Arial"/>
          <w:sz w:val="16"/>
          <w:szCs w:val="16"/>
          <w:color w:val="auto"/>
        </w:rPr>
        <w:t>Prior U.S. Army commands include the Deputy Chief of Staff, Army Operations; Chief, U.S. Military Training Mission, Saudi Arabia; and Commanding General, Human Resources Command.</w:t>
      </w:r>
    </w:p>
    <w:p>
      <w:pPr>
        <w:spacing w:after="0" w:line="1" w:lineRule="exact"/>
        <w:rPr>
          <w:rFonts w:ascii="Arial" w:cs="Arial" w:eastAsia="Arial" w:hAnsi="Arial"/>
          <w:sz w:val="16"/>
          <w:szCs w:val="16"/>
          <w:color w:val="2F8B9E"/>
        </w:rPr>
      </w:pPr>
    </w:p>
    <w:p>
      <w:pPr>
        <w:ind w:left="3000" w:hanging="168"/>
        <w:spacing w:after="0"/>
        <w:tabs>
          <w:tab w:leader="none" w:pos="3000" w:val="left"/>
        </w:tabs>
        <w:numPr>
          <w:ilvl w:val="0"/>
          <w:numId w:val="11"/>
        </w:numPr>
        <w:rPr>
          <w:rFonts w:ascii="Arial" w:cs="Arial" w:eastAsia="Arial" w:hAnsi="Arial"/>
          <w:sz w:val="16"/>
          <w:szCs w:val="16"/>
          <w:color w:val="2F8B9E"/>
        </w:rPr>
      </w:pPr>
      <w:r>
        <w:rPr>
          <w:rFonts w:ascii="Arial" w:cs="Arial" w:eastAsia="Arial" w:hAnsi="Arial"/>
          <w:sz w:val="16"/>
          <w:szCs w:val="16"/>
          <w:color w:val="auto"/>
        </w:rPr>
        <w:t>Serves on the board of USAA Federal Savings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53340</wp:posOffset>
            </wp:positionV>
            <wp:extent cx="6300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Hernandez has served as the President of CyberLens, LLC (a consulting company that focuses on cybersecurity, strategic planning, and risk management) since 2013. Previously he served in the United States Army for almost forty years, rising to the rank of Lieutenant General at the time of his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143510</wp:posOffset>
            </wp:positionV>
            <wp:extent cx="283210" cy="29146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83210" cy="291465"/>
                    </a:xfrm>
                    <a:prstGeom prst="rect">
                      <a:avLst/>
                    </a:prstGeom>
                    <a:noFill/>
                  </pic:spPr>
                </pic:pic>
              </a:graphicData>
            </a:graphic>
          </wp:anchor>
        </w:drawing>
        <w:drawing>
          <wp:anchor simplePos="0" relativeHeight="251657728" behindDoc="1" locked="0" layoutInCell="0" allowOverlap="1">
            <wp:simplePos x="0" y="0"/>
            <wp:positionH relativeFrom="column">
              <wp:posOffset>1524000</wp:posOffset>
            </wp:positionH>
            <wp:positionV relativeFrom="paragraph">
              <wp:posOffset>143510</wp:posOffset>
            </wp:positionV>
            <wp:extent cx="274320" cy="2743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2338705</wp:posOffset>
            </wp:positionH>
            <wp:positionV relativeFrom="paragraph">
              <wp:posOffset>143510</wp:posOffset>
            </wp:positionV>
            <wp:extent cx="274320" cy="2743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3195955</wp:posOffset>
            </wp:positionH>
            <wp:positionV relativeFrom="paragraph">
              <wp:posOffset>143510</wp:posOffset>
            </wp:positionV>
            <wp:extent cx="282575" cy="2825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143510</wp:posOffset>
            </wp:positionV>
            <wp:extent cx="282575" cy="2825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4747260</wp:posOffset>
            </wp:positionH>
            <wp:positionV relativeFrom="paragraph">
              <wp:posOffset>143510</wp:posOffset>
            </wp:positionV>
            <wp:extent cx="265430" cy="265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143510</wp:posOffset>
            </wp:positionV>
            <wp:extent cx="274320" cy="2743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160"/>
            <w:col w:w="9920"/>
          </w:cols>
          <w:pgMar w:left="320" w:top="238" w:right="339" w:bottom="1440" w:gutter="0" w:footer="0" w:header="0"/>
          <w:type w:val="continuous"/>
        </w:sect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PUBLIC COMPANY</w:t>
            </w:r>
          </w:p>
        </w:tc>
        <w:tc>
          <w:tcPr>
            <w:tcW w:w="2160" w:type="dxa"/>
            <w:vAlign w:val="bottom"/>
          </w:tcPr>
          <w:p>
            <w:pPr>
              <w:jc w:val="center"/>
              <w:ind w:right="88"/>
              <w:spacing w:after="0"/>
              <w:rPr>
                <w:sz w:val="20"/>
                <w:szCs w:val="20"/>
                <w:color w:val="auto"/>
              </w:rPr>
            </w:pPr>
            <w:r>
              <w:rPr>
                <w:rFonts w:ascii="Arial" w:cs="Arial" w:eastAsia="Arial" w:hAnsi="Arial"/>
                <w:sz w:val="14"/>
                <w:szCs w:val="14"/>
                <w:b w:val="1"/>
                <w:bCs w:val="1"/>
                <w:color w:val="auto"/>
              </w:rPr>
              <w:t>BUSINESS DEVELOPMENT</w:t>
            </w: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CEO</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CYBERSECURITY</w:t>
            </w: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rPr>
              <w:t>FINANCIAL</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GLOBAL</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auto"/>
              </w:rPr>
              <w:t>MANUFACTURING  RISK MANAGEMENT</w:t>
            </w:r>
          </w:p>
        </w:tc>
      </w:tr>
      <w:tr>
        <w:trPr>
          <w:trHeight w:val="196"/>
        </w:trPr>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rPr>
              <w:t>BOARD</w:t>
            </w:r>
          </w:p>
        </w:tc>
        <w:tc>
          <w:tcPr>
            <w:tcW w:w="2160" w:type="dxa"/>
            <w:vAlign w:val="bottom"/>
          </w:tcPr>
          <w:p>
            <w:pPr>
              <w:jc w:val="center"/>
              <w:ind w:right="88"/>
              <w:spacing w:after="0"/>
              <w:rPr>
                <w:sz w:val="20"/>
                <w:szCs w:val="20"/>
                <w:color w:val="auto"/>
              </w:rPr>
            </w:pPr>
            <w:r>
              <w:rPr>
                <w:rFonts w:ascii="Arial" w:cs="Arial" w:eastAsia="Arial" w:hAnsi="Arial"/>
                <w:sz w:val="14"/>
                <w:szCs w:val="14"/>
                <w:b w:val="1"/>
                <w:bCs w:val="1"/>
                <w:color w:val="auto"/>
              </w:rPr>
              <w:t>AND STRATEGY</w:t>
            </w:r>
          </w:p>
        </w:tc>
        <w:tc>
          <w:tcPr>
            <w:tcW w:w="760" w:type="dxa"/>
            <w:vAlign w:val="bottom"/>
          </w:tcPr>
          <w:p>
            <w:pPr>
              <w:spacing w:after="0"/>
              <w:rPr>
                <w:sz w:val="17"/>
                <w:szCs w:val="17"/>
                <w:color w:val="auto"/>
              </w:rPr>
            </w:pP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AND TECHNOLOGY</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373"/>
        </w:trPr>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19</w:t>
            </w:r>
          </w:p>
        </w:tc>
      </w:tr>
      <w:tr>
        <w:trPr>
          <w:trHeight w:val="258"/>
        </w:trPr>
        <w:tc>
          <w:tcPr>
            <w:tcW w:w="1400" w:type="dxa"/>
            <w:vAlign w:val="bottom"/>
            <w:tcBorders>
              <w:bottom w:val="single" w:sz="8" w:color="C0C0C0"/>
            </w:tcBorders>
          </w:tcPr>
          <w:p>
            <w:pPr>
              <w:spacing w:after="0"/>
              <w:rPr>
                <w:sz w:val="22"/>
                <w:szCs w:val="22"/>
                <w:color w:val="auto"/>
              </w:rPr>
            </w:pPr>
          </w:p>
        </w:tc>
        <w:tc>
          <w:tcPr>
            <w:tcW w:w="2160" w:type="dxa"/>
            <w:vAlign w:val="bottom"/>
            <w:tcBorders>
              <w:bottom w:val="single" w:sz="8" w:color="C0C0C0"/>
            </w:tcBorders>
          </w:tcPr>
          <w:p>
            <w:pPr>
              <w:spacing w:after="0"/>
              <w:rPr>
                <w:sz w:val="22"/>
                <w:szCs w:val="22"/>
                <w:color w:val="auto"/>
              </w:rPr>
            </w:pPr>
          </w:p>
        </w:tc>
        <w:tc>
          <w:tcPr>
            <w:tcW w:w="760" w:type="dxa"/>
            <w:vAlign w:val="bottom"/>
            <w:tcBorders>
              <w:bottom w:val="single" w:sz="8" w:color="C0C0C0"/>
            </w:tcBorders>
          </w:tcPr>
          <w:p>
            <w:pPr>
              <w:spacing w:after="0"/>
              <w:rPr>
                <w:sz w:val="22"/>
                <w:szCs w:val="22"/>
                <w:color w:val="auto"/>
              </w:rPr>
            </w:pPr>
          </w:p>
        </w:tc>
        <w:tc>
          <w:tcPr>
            <w:tcW w:w="1720" w:type="dxa"/>
            <w:vAlign w:val="bottom"/>
            <w:tcBorders>
              <w:bottom w:val="single" w:sz="8" w:color="C0C0C0"/>
            </w:tcBorders>
          </w:tcPr>
          <w:p>
            <w:pPr>
              <w:spacing w:after="0"/>
              <w:rPr>
                <w:sz w:val="22"/>
                <w:szCs w:val="22"/>
                <w:color w:val="auto"/>
              </w:rPr>
            </w:pPr>
          </w:p>
        </w:tc>
        <w:tc>
          <w:tcPr>
            <w:tcW w:w="116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238"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7715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118110</wp:posOffset>
            </wp:positionV>
            <wp:extent cx="2691765" cy="2743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691765" cy="274320"/>
                    </a:xfrm>
                    <a:prstGeom prst="rect">
                      <a:avLst/>
                    </a:prstGeom>
                    <a:noFill/>
                  </pic:spPr>
                </pic:pic>
              </a:graphicData>
            </a:graphic>
          </wp:anchor>
        </w:drawing>
      </w:r>
    </w:p>
    <w:p>
      <w:pPr>
        <w:spacing w:after="0" w:line="172" w:lineRule="exact"/>
        <w:rPr>
          <w:sz w:val="20"/>
          <w:szCs w:val="20"/>
          <w:color w:val="auto"/>
        </w:rPr>
      </w:pPr>
    </w:p>
    <w:p>
      <w:pPr>
        <w:jc w:val="right"/>
        <w:ind w:right="7860"/>
        <w:spacing w:after="0"/>
        <w:rPr>
          <w:sz w:val="20"/>
          <w:szCs w:val="20"/>
          <w:color w:val="auto"/>
        </w:rPr>
      </w:pPr>
      <w:r>
        <w:rPr>
          <w:rFonts w:ascii="Arial" w:cs="Arial" w:eastAsia="Arial" w:hAnsi="Arial"/>
          <w:sz w:val="29"/>
          <w:szCs w:val="29"/>
          <w:b w:val="1"/>
          <w:bCs w:val="1"/>
          <w:color w:val="auto"/>
        </w:rPr>
        <w:t>Neal J.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118745</wp:posOffset>
            </wp:positionV>
            <wp:extent cx="6300470" cy="22885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300470" cy="228854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70</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2010</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160" w:hanging="153"/>
        <w:spacing w:after="0"/>
        <w:tabs>
          <w:tab w:leader="none" w:pos="160" w:val="left"/>
        </w:tabs>
        <w:numPr>
          <w:ilvl w:val="0"/>
          <w:numId w:val="12"/>
        </w:numPr>
        <w:rPr>
          <w:rFonts w:ascii="Arial" w:cs="Arial" w:eastAsia="Arial" w:hAnsi="Arial"/>
          <w:sz w:val="16"/>
          <w:szCs w:val="16"/>
          <w:color w:val="2F8B9E"/>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2F8B9E"/>
        </w:rPr>
      </w:pPr>
    </w:p>
    <w:p>
      <w:pPr>
        <w:ind w:left="160" w:hanging="153"/>
        <w:spacing w:after="0"/>
        <w:tabs>
          <w:tab w:leader="none" w:pos="160" w:val="left"/>
        </w:tabs>
        <w:numPr>
          <w:ilvl w:val="0"/>
          <w:numId w:val="12"/>
        </w:numPr>
        <w:rPr>
          <w:rFonts w:ascii="Arial" w:cs="Arial" w:eastAsia="Arial" w:hAnsi="Arial"/>
          <w:sz w:val="16"/>
          <w:szCs w:val="16"/>
          <w:color w:val="2F8B9E"/>
        </w:rPr>
      </w:pPr>
      <w:r>
        <w:rPr>
          <w:rFonts w:ascii="Arial" w:cs="Arial" w:eastAsia="Arial" w:hAnsi="Arial"/>
          <w:sz w:val="16"/>
          <w:szCs w:val="16"/>
          <w:color w:val="auto"/>
        </w:rPr>
        <w:t>Executive</w:t>
      </w:r>
    </w:p>
    <w:p>
      <w:pPr>
        <w:spacing w:after="0" w:line="5" w:lineRule="exact"/>
        <w:rPr>
          <w:rFonts w:ascii="Arial" w:cs="Arial" w:eastAsia="Arial" w:hAnsi="Arial"/>
          <w:sz w:val="16"/>
          <w:szCs w:val="16"/>
          <w:color w:val="2F8B9E"/>
        </w:rPr>
      </w:pPr>
    </w:p>
    <w:p>
      <w:pPr>
        <w:ind w:left="160" w:right="440" w:hanging="153"/>
        <w:spacing w:after="0" w:line="265" w:lineRule="auto"/>
        <w:tabs>
          <w:tab w:leader="none" w:pos="163" w:val="left"/>
        </w:tabs>
        <w:numPr>
          <w:ilvl w:val="0"/>
          <w:numId w:val="12"/>
        </w:numPr>
        <w:rPr>
          <w:rFonts w:ascii="Arial" w:cs="Arial" w:eastAsia="Arial" w:hAnsi="Arial"/>
          <w:sz w:val="16"/>
          <w:szCs w:val="16"/>
          <w:color w:val="2F8B9E"/>
        </w:rPr>
      </w:pPr>
      <w:r>
        <w:rPr>
          <w:rFonts w:ascii="Arial" w:cs="Arial" w:eastAsia="Arial" w:hAnsi="Arial"/>
          <w:sz w:val="16"/>
          <w:szCs w:val="16"/>
          <w:color w:val="auto"/>
        </w:rPr>
        <w:t>Nominating and Corporate Governance (Chair)</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DIRECTORSHIP:</w:t>
      </w:r>
    </w:p>
    <w:p>
      <w:pPr>
        <w:spacing w:after="0" w:line="21" w:lineRule="exact"/>
        <w:rPr>
          <w:sz w:val="20"/>
          <w:szCs w:val="20"/>
          <w:color w:val="auto"/>
        </w:rPr>
      </w:pPr>
    </w:p>
    <w:p>
      <w:pPr>
        <w:ind w:left="160" w:hanging="153"/>
        <w:spacing w:after="0" w:line="265" w:lineRule="auto"/>
        <w:tabs>
          <w:tab w:leader="none" w:pos="163" w:val="left"/>
        </w:tabs>
        <w:numPr>
          <w:ilvl w:val="0"/>
          <w:numId w:val="13"/>
        </w:numPr>
        <w:rPr>
          <w:rFonts w:ascii="Arial" w:cs="Arial" w:eastAsia="Arial" w:hAnsi="Arial"/>
          <w:sz w:val="16"/>
          <w:szCs w:val="16"/>
          <w:color w:val="2F8B9E"/>
        </w:rPr>
      </w:pPr>
      <w:r>
        <w:rPr>
          <w:rFonts w:ascii="Arial" w:cs="Arial" w:eastAsia="Arial" w:hAnsi="Arial"/>
          <w:sz w:val="16"/>
          <w:szCs w:val="16"/>
          <w:color w:val="auto"/>
        </w:rPr>
        <w:t>Hexcel Corporation, since March 2026</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DIRECTORSHIPS:</w:t>
      </w:r>
    </w:p>
    <w:p>
      <w:pPr>
        <w:spacing w:after="0" w:line="21" w:lineRule="exact"/>
        <w:rPr>
          <w:sz w:val="20"/>
          <w:szCs w:val="20"/>
          <w:color w:val="auto"/>
        </w:rPr>
      </w:pPr>
    </w:p>
    <w:p>
      <w:pPr>
        <w:ind w:left="160" w:hanging="153"/>
        <w:spacing w:after="0"/>
        <w:tabs>
          <w:tab w:leader="none" w:pos="160" w:val="left"/>
        </w:tabs>
        <w:numPr>
          <w:ilvl w:val="0"/>
          <w:numId w:val="14"/>
        </w:numPr>
        <w:rPr>
          <w:rFonts w:ascii="Arial" w:cs="Arial" w:eastAsia="Arial" w:hAnsi="Arial"/>
          <w:sz w:val="16"/>
          <w:szCs w:val="16"/>
          <w:color w:val="2F8B9E"/>
        </w:rPr>
      </w:pPr>
      <w:r>
        <w:rPr>
          <w:rFonts w:ascii="Arial" w:cs="Arial" w:eastAsia="Arial" w:hAnsi="Arial"/>
          <w:sz w:val="16"/>
          <w:szCs w:val="16"/>
          <w:color w:val="auto"/>
        </w:rPr>
        <w:t>Form Technologies, 2021 - 2025</w:t>
      </w:r>
    </w:p>
    <w:p>
      <w:pPr>
        <w:spacing w:after="0" w:line="5" w:lineRule="exact"/>
        <w:rPr>
          <w:rFonts w:ascii="Arial" w:cs="Arial" w:eastAsia="Arial" w:hAnsi="Arial"/>
          <w:sz w:val="16"/>
          <w:szCs w:val="16"/>
          <w:color w:val="2F8B9E"/>
        </w:rPr>
      </w:pPr>
    </w:p>
    <w:p>
      <w:pPr>
        <w:ind w:left="160" w:hanging="153"/>
        <w:spacing w:after="0" w:line="246" w:lineRule="auto"/>
        <w:tabs>
          <w:tab w:leader="none" w:pos="163" w:val="left"/>
        </w:tabs>
        <w:numPr>
          <w:ilvl w:val="0"/>
          <w:numId w:val="14"/>
        </w:numPr>
        <w:rPr>
          <w:rFonts w:ascii="Arial" w:cs="Arial" w:eastAsia="Arial" w:hAnsi="Arial"/>
          <w:sz w:val="16"/>
          <w:szCs w:val="16"/>
          <w:color w:val="2F8B9E"/>
        </w:rPr>
      </w:pPr>
      <w:r>
        <w:rPr>
          <w:rFonts w:ascii="Arial" w:cs="Arial" w:eastAsia="Arial" w:hAnsi="Arial"/>
          <w:sz w:val="16"/>
          <w:szCs w:val="16"/>
          <w:color w:val="auto"/>
        </w:rPr>
        <w:t>Triumph Group, Inc., April 2022 - July 2025</w:t>
      </w:r>
    </w:p>
    <w:p>
      <w:pPr>
        <w:ind w:left="160" w:right="300" w:hanging="153"/>
        <w:spacing w:after="0" w:line="246" w:lineRule="auto"/>
        <w:tabs>
          <w:tab w:leader="none" w:pos="163" w:val="left"/>
        </w:tabs>
        <w:numPr>
          <w:ilvl w:val="0"/>
          <w:numId w:val="14"/>
        </w:numPr>
        <w:rPr>
          <w:rFonts w:ascii="Arial" w:cs="Arial" w:eastAsia="Arial" w:hAnsi="Arial"/>
          <w:sz w:val="16"/>
          <w:szCs w:val="16"/>
          <w:color w:val="2F8B9E"/>
        </w:rPr>
      </w:pPr>
      <w:r>
        <w:rPr>
          <w:rFonts w:ascii="Arial" w:cs="Arial" w:eastAsia="Arial" w:hAnsi="Arial"/>
          <w:sz w:val="16"/>
          <w:szCs w:val="16"/>
          <w:color w:val="auto"/>
        </w:rPr>
        <w:t>Barnes Group Inc., February 2023 - January 2025</w:t>
      </w:r>
    </w:p>
    <w:p>
      <w:pPr>
        <w:ind w:left="160" w:right="20" w:hanging="153"/>
        <w:spacing w:after="0" w:line="265" w:lineRule="auto"/>
        <w:tabs>
          <w:tab w:leader="none" w:pos="163" w:val="left"/>
        </w:tabs>
        <w:numPr>
          <w:ilvl w:val="0"/>
          <w:numId w:val="14"/>
        </w:numPr>
        <w:rPr>
          <w:rFonts w:ascii="Arial" w:cs="Arial" w:eastAsia="Arial" w:hAnsi="Arial"/>
          <w:sz w:val="16"/>
          <w:szCs w:val="16"/>
          <w:color w:val="2F8B9E"/>
        </w:rPr>
      </w:pPr>
      <w:r>
        <w:rPr>
          <w:rFonts w:ascii="Arial" w:cs="Arial" w:eastAsia="Arial" w:hAnsi="Arial"/>
          <w:sz w:val="16"/>
          <w:szCs w:val="16"/>
          <w:color w:val="auto"/>
        </w:rPr>
        <w:t>Kaman Corporation, 2007 - April 2021</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QUALIFICATIONS:</w:t>
      </w:r>
    </w:p>
    <w:p>
      <w:pPr>
        <w:spacing w:after="0" w:line="194" w:lineRule="exact"/>
        <w:rPr>
          <w:sz w:val="20"/>
          <w:szCs w:val="20"/>
          <w:color w:val="auto"/>
        </w:rPr>
      </w:pPr>
    </w:p>
    <w:p>
      <w:pPr>
        <w:jc w:val="both"/>
        <w:ind w:left="1" w:right="60"/>
        <w:spacing w:after="0" w:line="271" w:lineRule="auto"/>
        <w:rPr>
          <w:sz w:val="20"/>
          <w:szCs w:val="20"/>
          <w:color w:val="auto"/>
        </w:rPr>
      </w:pPr>
      <w:r>
        <w:rPr>
          <w:rFonts w:ascii="Arial" w:cs="Arial" w:eastAsia="Arial" w:hAnsi="Arial"/>
          <w:sz w:val="16"/>
          <w:szCs w:val="16"/>
          <w:b w:val="1"/>
          <w:bCs w:val="1"/>
          <w:color w:val="auto"/>
        </w:rPr>
        <w:t>Mr. Keating brings to the Board an extensive history of senior executive leadership and board experience and a strong background in international operations, distribution, and mergers and acquisitions, including:</w:t>
      </w:r>
    </w:p>
    <w:p>
      <w:pPr>
        <w:spacing w:after="0" w:line="133" w:lineRule="exact"/>
        <w:rPr>
          <w:sz w:val="20"/>
          <w:szCs w:val="20"/>
          <w:color w:val="auto"/>
        </w:rPr>
      </w:pPr>
    </w:p>
    <w:p>
      <w:pPr>
        <w:jc w:val="both"/>
        <w:ind w:left="161" w:right="60" w:hanging="161"/>
        <w:spacing w:after="0" w:line="247" w:lineRule="auto"/>
        <w:tabs>
          <w:tab w:leader="none" w:pos="161" w:val="left"/>
        </w:tabs>
        <w:numPr>
          <w:ilvl w:val="0"/>
          <w:numId w:val="15"/>
        </w:numPr>
        <w:rPr>
          <w:rFonts w:ascii="Arial" w:cs="Arial" w:eastAsia="Arial" w:hAnsi="Arial"/>
          <w:sz w:val="16"/>
          <w:szCs w:val="16"/>
          <w:color w:val="2F8B9E"/>
        </w:rPr>
      </w:pPr>
      <w:r>
        <w:rPr>
          <w:rFonts w:ascii="Arial" w:cs="Arial" w:eastAsia="Arial" w:hAnsi="Arial"/>
          <w:sz w:val="16"/>
          <w:szCs w:val="16"/>
          <w:color w:val="auto"/>
        </w:rPr>
        <w:t>Served as Chairman, President and Chief Executive Officer of Kaman Corporation, a formerly publicly traded aerospace and industrial distribution firm, from 2008 to August 2020 and Executive Chairman until April 2021.</w:t>
      </w:r>
    </w:p>
    <w:p>
      <w:pPr>
        <w:spacing w:after="0" w:line="1" w:lineRule="exact"/>
        <w:rPr>
          <w:rFonts w:ascii="Arial" w:cs="Arial" w:eastAsia="Arial" w:hAnsi="Arial"/>
          <w:sz w:val="16"/>
          <w:szCs w:val="16"/>
          <w:color w:val="2F8B9E"/>
        </w:rPr>
      </w:pPr>
    </w:p>
    <w:p>
      <w:pPr>
        <w:ind w:left="161" w:right="60" w:hanging="161"/>
        <w:spacing w:after="0" w:line="237" w:lineRule="auto"/>
        <w:tabs>
          <w:tab w:leader="none" w:pos="161" w:val="left"/>
        </w:tabs>
        <w:numPr>
          <w:ilvl w:val="0"/>
          <w:numId w:val="15"/>
        </w:numPr>
        <w:rPr>
          <w:rFonts w:ascii="Arial" w:cs="Arial" w:eastAsia="Arial" w:hAnsi="Arial"/>
          <w:sz w:val="16"/>
          <w:szCs w:val="16"/>
          <w:color w:val="2F8B9E"/>
        </w:rPr>
      </w:pPr>
      <w:r>
        <w:rPr>
          <w:rFonts w:ascii="Arial" w:cs="Arial" w:eastAsia="Arial" w:hAnsi="Arial"/>
          <w:sz w:val="16"/>
          <w:szCs w:val="16"/>
          <w:color w:val="auto"/>
        </w:rPr>
        <w:t>Experience as COO of Hughes Supply and Executive Vice President and COO of Rockwell Collins, Commercial Systems.</w:t>
      </w:r>
    </w:p>
    <w:p>
      <w:pPr>
        <w:spacing w:after="0" w:line="1" w:lineRule="exact"/>
        <w:rPr>
          <w:rFonts w:ascii="Arial" w:cs="Arial" w:eastAsia="Arial" w:hAnsi="Arial"/>
          <w:sz w:val="16"/>
          <w:szCs w:val="16"/>
          <w:color w:val="2F8B9E"/>
        </w:rPr>
      </w:pPr>
    </w:p>
    <w:p>
      <w:pPr>
        <w:ind w:left="161" w:right="60" w:hanging="161"/>
        <w:spacing w:after="0" w:line="246" w:lineRule="auto"/>
        <w:tabs>
          <w:tab w:leader="none" w:pos="161" w:val="left"/>
        </w:tabs>
        <w:numPr>
          <w:ilvl w:val="0"/>
          <w:numId w:val="15"/>
        </w:numPr>
        <w:rPr>
          <w:rFonts w:ascii="Arial" w:cs="Arial" w:eastAsia="Arial" w:hAnsi="Arial"/>
          <w:sz w:val="16"/>
          <w:szCs w:val="16"/>
          <w:color w:val="2F8B9E"/>
        </w:rPr>
      </w:pPr>
      <w:r>
        <w:rPr>
          <w:rFonts w:ascii="Arial" w:cs="Arial" w:eastAsia="Arial" w:hAnsi="Arial"/>
          <w:sz w:val="16"/>
          <w:szCs w:val="16"/>
          <w:color w:val="auto"/>
        </w:rPr>
        <w:t>Former Managing Director and CEO of GKN Aerospace and Director of GKN plc, an international aerospace, automotive and land systems business.</w:t>
      </w:r>
    </w:p>
    <w:p>
      <w:pPr>
        <w:ind w:left="161" w:hanging="161"/>
        <w:spacing w:after="0"/>
        <w:tabs>
          <w:tab w:leader="none" w:pos="161" w:val="left"/>
        </w:tabs>
        <w:numPr>
          <w:ilvl w:val="0"/>
          <w:numId w:val="15"/>
        </w:numPr>
        <w:rPr>
          <w:rFonts w:ascii="Arial" w:cs="Arial" w:eastAsia="Arial" w:hAnsi="Arial"/>
          <w:sz w:val="16"/>
          <w:szCs w:val="16"/>
          <w:color w:val="2F8B9E"/>
        </w:rPr>
      </w:pPr>
      <w:r>
        <w:rPr>
          <w:rFonts w:ascii="Arial" w:cs="Arial" w:eastAsia="Arial" w:hAnsi="Arial"/>
          <w:sz w:val="16"/>
          <w:szCs w:val="16"/>
          <w:color w:val="auto"/>
        </w:rPr>
        <w:t>Member of the board of directors of Embry-Riddle Aeronautical University and Space Florida.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-1791335</wp:posOffset>
            </wp:positionH>
            <wp:positionV relativeFrom="paragraph">
              <wp:posOffset>550545</wp:posOffset>
            </wp:positionV>
            <wp:extent cx="6300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920" w:lineRule="exact"/>
        <w:rPr>
          <w:sz w:val="20"/>
          <w:szCs w:val="20"/>
          <w:color w:val="auto"/>
        </w:rPr>
      </w:pPr>
    </w:p>
    <w:p>
      <w:pPr>
        <w:sectPr>
          <w:pgSz w:w="11900" w:h="16838" w:orient="portrait"/>
          <w:cols w:equalWidth="0" w:num="3">
            <w:col w:w="1160" w:space="240"/>
            <w:col w:w="2500" w:space="239"/>
            <w:col w:w="7101"/>
          </w:cols>
          <w:pgMar w:left="320" w:top="238" w:right="339" w:bottom="1440" w:gutter="0" w:footer="0" w:header="0"/>
          <w:type w:val="continuous"/>
        </w:sectPr>
      </w:pPr>
    </w:p>
    <w:p>
      <w:pPr>
        <w:jc w:val="both"/>
        <w:ind w:left="1320"/>
        <w:spacing w:after="0" w:line="259" w:lineRule="auto"/>
        <w:rPr>
          <w:sz w:val="20"/>
          <w:szCs w:val="20"/>
          <w:color w:val="auto"/>
        </w:rPr>
      </w:pPr>
      <w:r>
        <w:rPr>
          <w:rFonts w:ascii="Arial" w:cs="Arial" w:eastAsia="Arial" w:hAnsi="Arial"/>
          <w:sz w:val="16"/>
          <w:szCs w:val="16"/>
          <w:color w:val="auto"/>
        </w:rPr>
        <w:t>Mr. Keating served as the Executive Chairman of the board of Kaman Corporation (a formerly publicly traded aerospace and industrial distribution company) from 2008 to April 2021. Previously, he held the position of President and Chief Executive Officer of Kaman Corporation from 2008 to August 2020 and President and Chief Operating Officer of Kaman Corporation from 2007 to 2008. From 2004 to 2007, he held the position of Chief Operating Officer of Hughes Supply (a wholesale distributor acquired by Home Depot).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71525" cy="7715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215900</wp:posOffset>
            </wp:positionV>
            <wp:extent cx="1997075" cy="2743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997075" cy="274320"/>
                    </a:xfrm>
                    <a:prstGeom prst="rect">
                      <a:avLst/>
                    </a:prstGeom>
                    <a:noFill/>
                  </pic:spPr>
                </pic:pic>
              </a:graphicData>
            </a:graphic>
          </wp:anchor>
        </w:drawing>
      </w:r>
    </w:p>
    <w:p>
      <w:pPr>
        <w:spacing w:after="0" w:line="327" w:lineRule="exact"/>
        <w:rPr>
          <w:sz w:val="20"/>
          <w:szCs w:val="20"/>
          <w:color w:val="auto"/>
        </w:rPr>
      </w:pPr>
    </w:p>
    <w:p>
      <w:pPr>
        <w:ind w:left="1320"/>
        <w:spacing w:after="0"/>
        <w:rPr>
          <w:sz w:val="20"/>
          <w:szCs w:val="20"/>
          <w:color w:val="auto"/>
        </w:rPr>
      </w:pPr>
      <w:r>
        <w:rPr>
          <w:rFonts w:ascii="Arial" w:cs="Arial" w:eastAsia="Arial" w:hAnsi="Arial"/>
          <w:sz w:val="29"/>
          <w:szCs w:val="29"/>
          <w:b w:val="1"/>
          <w:bCs w:val="1"/>
          <w:color w:val="auto"/>
        </w:rPr>
        <w:t>Bonnie C. Lind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118745</wp:posOffset>
            </wp:positionV>
            <wp:extent cx="6300470" cy="26485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00470" cy="264858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67</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2019</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10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b w:val="1"/>
          <w:bCs w:val="1"/>
          <w:color w:val="auto"/>
        </w:rPr>
        <w:t>AUDIT COMMITTEE FINANCIAL EXPERT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160" w:hanging="153"/>
        <w:spacing w:after="0"/>
        <w:tabs>
          <w:tab w:leader="none" w:pos="160" w:val="left"/>
        </w:tabs>
        <w:numPr>
          <w:ilvl w:val="0"/>
          <w:numId w:val="16"/>
        </w:numPr>
        <w:rPr>
          <w:rFonts w:ascii="Arial" w:cs="Arial" w:eastAsia="Arial" w:hAnsi="Arial"/>
          <w:sz w:val="16"/>
          <w:szCs w:val="16"/>
          <w:color w:val="2F8B9E"/>
        </w:rPr>
      </w:pPr>
      <w:r>
        <w:rPr>
          <w:rFonts w:ascii="Arial" w:cs="Arial" w:eastAsia="Arial" w:hAnsi="Arial"/>
          <w:sz w:val="16"/>
          <w:szCs w:val="16"/>
          <w:color w:val="auto"/>
        </w:rPr>
        <w:t>Audit (Chair)</w:t>
      </w:r>
    </w:p>
    <w:p>
      <w:pPr>
        <w:spacing w:after="0" w:line="5" w:lineRule="exact"/>
        <w:rPr>
          <w:rFonts w:ascii="Arial" w:cs="Arial" w:eastAsia="Arial" w:hAnsi="Arial"/>
          <w:sz w:val="16"/>
          <w:szCs w:val="16"/>
          <w:color w:val="2F8B9E"/>
        </w:rPr>
      </w:pPr>
    </w:p>
    <w:p>
      <w:pPr>
        <w:ind w:left="160" w:hanging="153"/>
        <w:spacing w:after="0"/>
        <w:tabs>
          <w:tab w:leader="none" w:pos="160" w:val="left"/>
        </w:tabs>
        <w:numPr>
          <w:ilvl w:val="0"/>
          <w:numId w:val="16"/>
        </w:numPr>
        <w:rPr>
          <w:rFonts w:ascii="Arial" w:cs="Arial" w:eastAsia="Arial" w:hAnsi="Arial"/>
          <w:sz w:val="16"/>
          <w:szCs w:val="16"/>
          <w:color w:val="2F8B9E"/>
        </w:rPr>
      </w:pPr>
      <w:r>
        <w:rPr>
          <w:rFonts w:ascii="Arial" w:cs="Arial" w:eastAsia="Arial" w:hAnsi="Arial"/>
          <w:sz w:val="16"/>
          <w:szCs w:val="16"/>
          <w:color w:val="auto"/>
        </w:rPr>
        <w:t>Executive</w:t>
      </w:r>
    </w:p>
    <w:p>
      <w:pPr>
        <w:spacing w:after="0" w:line="5" w:lineRule="exact"/>
        <w:rPr>
          <w:rFonts w:ascii="Arial" w:cs="Arial" w:eastAsia="Arial" w:hAnsi="Arial"/>
          <w:sz w:val="16"/>
          <w:szCs w:val="16"/>
          <w:color w:val="2F8B9E"/>
        </w:rPr>
      </w:pPr>
    </w:p>
    <w:p>
      <w:pPr>
        <w:ind w:left="160" w:right="500" w:hanging="153"/>
        <w:spacing w:after="0" w:line="265" w:lineRule="auto"/>
        <w:tabs>
          <w:tab w:leader="none" w:pos="163" w:val="left"/>
        </w:tabs>
        <w:numPr>
          <w:ilvl w:val="0"/>
          <w:numId w:val="16"/>
        </w:numPr>
        <w:rPr>
          <w:rFonts w:ascii="Arial" w:cs="Arial" w:eastAsia="Arial" w:hAnsi="Arial"/>
          <w:sz w:val="16"/>
          <w:szCs w:val="16"/>
          <w:color w:val="2F8B9E"/>
        </w:rPr>
      </w:pPr>
      <w:r>
        <w:rPr>
          <w:rFonts w:ascii="Arial" w:cs="Arial" w:eastAsia="Arial" w:hAnsi="Arial"/>
          <w:sz w:val="16"/>
          <w:szCs w:val="16"/>
          <w:color w:val="auto"/>
        </w:rPr>
        <w:t>Nominating and Corporate Governance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DIRECTORSHIPS:</w:t>
      </w:r>
    </w:p>
    <w:p>
      <w:pPr>
        <w:spacing w:after="0" w:line="21" w:lineRule="exact"/>
        <w:rPr>
          <w:sz w:val="20"/>
          <w:szCs w:val="20"/>
          <w:color w:val="auto"/>
        </w:rPr>
      </w:pPr>
    </w:p>
    <w:p>
      <w:pPr>
        <w:ind w:left="160" w:right="380" w:hanging="153"/>
        <w:spacing w:after="0" w:line="246" w:lineRule="auto"/>
        <w:tabs>
          <w:tab w:leader="none" w:pos="163" w:val="left"/>
        </w:tabs>
        <w:numPr>
          <w:ilvl w:val="0"/>
          <w:numId w:val="17"/>
        </w:numPr>
        <w:rPr>
          <w:rFonts w:ascii="Arial" w:cs="Arial" w:eastAsia="Arial" w:hAnsi="Arial"/>
          <w:sz w:val="16"/>
          <w:szCs w:val="16"/>
          <w:color w:val="2F8B9E"/>
        </w:rPr>
      </w:pPr>
      <w:r>
        <w:rPr>
          <w:rFonts w:ascii="Arial" w:cs="Arial" w:eastAsia="Arial" w:hAnsi="Arial"/>
          <w:sz w:val="16"/>
          <w:szCs w:val="16"/>
          <w:color w:val="auto"/>
        </w:rPr>
        <w:t>Mission Produce, Inc., since 2020</w:t>
      </w:r>
    </w:p>
    <w:p>
      <w:pPr>
        <w:ind w:left="160" w:right="380" w:hanging="153"/>
        <w:spacing w:after="0" w:line="246" w:lineRule="auto"/>
        <w:tabs>
          <w:tab w:leader="none" w:pos="163" w:val="left"/>
        </w:tabs>
        <w:numPr>
          <w:ilvl w:val="0"/>
          <w:numId w:val="17"/>
        </w:numPr>
        <w:rPr>
          <w:rFonts w:ascii="Arial" w:cs="Arial" w:eastAsia="Arial" w:hAnsi="Arial"/>
          <w:sz w:val="16"/>
          <w:szCs w:val="16"/>
          <w:color w:val="2F8B9E"/>
        </w:rPr>
      </w:pPr>
      <w:r>
        <w:rPr>
          <w:rFonts w:ascii="Arial" w:cs="Arial" w:eastAsia="Arial" w:hAnsi="Arial"/>
          <w:sz w:val="16"/>
          <w:szCs w:val="16"/>
          <w:color w:val="auto"/>
        </w:rPr>
        <w:t>Tamarack Timberlands LLC, since 2022</w:t>
      </w:r>
    </w:p>
    <w:p>
      <w:pPr>
        <w:ind w:left="160" w:right="60" w:hanging="153"/>
        <w:spacing w:after="0" w:line="265" w:lineRule="auto"/>
        <w:tabs>
          <w:tab w:leader="none" w:pos="163" w:val="left"/>
        </w:tabs>
        <w:numPr>
          <w:ilvl w:val="0"/>
          <w:numId w:val="17"/>
        </w:numPr>
        <w:rPr>
          <w:rFonts w:ascii="Arial" w:cs="Arial" w:eastAsia="Arial" w:hAnsi="Arial"/>
          <w:sz w:val="16"/>
          <w:szCs w:val="16"/>
          <w:color w:val="2F8B9E"/>
        </w:rPr>
      </w:pPr>
      <w:r>
        <w:rPr>
          <w:rFonts w:ascii="Arial" w:cs="Arial" w:eastAsia="Arial" w:hAnsi="Arial"/>
          <w:sz w:val="16"/>
          <w:szCs w:val="16"/>
          <w:color w:val="auto"/>
        </w:rPr>
        <w:t>Albany International Corp., since February 2024</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DIRECTORSHIPS:</w:t>
      </w:r>
    </w:p>
    <w:p>
      <w:pPr>
        <w:spacing w:after="0" w:line="21" w:lineRule="exact"/>
        <w:rPr>
          <w:sz w:val="20"/>
          <w:szCs w:val="20"/>
          <w:color w:val="auto"/>
        </w:rPr>
      </w:pPr>
    </w:p>
    <w:p>
      <w:pPr>
        <w:ind w:left="160" w:right="80" w:hanging="153"/>
        <w:spacing w:after="0" w:line="246" w:lineRule="auto"/>
        <w:tabs>
          <w:tab w:leader="none" w:pos="163" w:val="left"/>
        </w:tabs>
        <w:numPr>
          <w:ilvl w:val="0"/>
          <w:numId w:val="18"/>
        </w:numPr>
        <w:rPr>
          <w:rFonts w:ascii="Arial" w:cs="Arial" w:eastAsia="Arial" w:hAnsi="Arial"/>
          <w:sz w:val="16"/>
          <w:szCs w:val="16"/>
          <w:color w:val="2F8B9E"/>
        </w:rPr>
      </w:pPr>
      <w:r>
        <w:rPr>
          <w:rFonts w:ascii="Arial" w:cs="Arial" w:eastAsia="Arial" w:hAnsi="Arial"/>
          <w:sz w:val="16"/>
          <w:szCs w:val="16"/>
          <w:color w:val="auto"/>
        </w:rPr>
        <w:t>U.S. Silica Holdings, Inc., 2019 - February 2021</w:t>
      </w:r>
    </w:p>
    <w:p>
      <w:pPr>
        <w:ind w:left="160" w:right="20" w:hanging="153"/>
        <w:spacing w:after="0" w:line="246" w:lineRule="auto"/>
        <w:tabs>
          <w:tab w:leader="none" w:pos="163" w:val="left"/>
        </w:tabs>
        <w:numPr>
          <w:ilvl w:val="0"/>
          <w:numId w:val="18"/>
        </w:numPr>
        <w:rPr>
          <w:rFonts w:ascii="Arial" w:cs="Arial" w:eastAsia="Arial" w:hAnsi="Arial"/>
          <w:sz w:val="16"/>
          <w:szCs w:val="16"/>
          <w:color w:val="2F8B9E"/>
        </w:rPr>
      </w:pPr>
      <w:r>
        <w:rPr>
          <w:rFonts w:ascii="Arial" w:cs="Arial" w:eastAsia="Arial" w:hAnsi="Arial"/>
          <w:sz w:val="16"/>
          <w:szCs w:val="16"/>
          <w:color w:val="auto"/>
        </w:rPr>
        <w:t>Federal Signal Corporation, 2014 - 2018</w:t>
      </w:r>
    </w:p>
    <w:p>
      <w:pPr>
        <w:ind w:left="160" w:hanging="153"/>
        <w:spacing w:after="0" w:line="265" w:lineRule="auto"/>
        <w:tabs>
          <w:tab w:leader="none" w:pos="163" w:val="left"/>
        </w:tabs>
        <w:numPr>
          <w:ilvl w:val="0"/>
          <w:numId w:val="18"/>
        </w:numPr>
        <w:rPr>
          <w:rFonts w:ascii="Arial" w:cs="Arial" w:eastAsia="Arial" w:hAnsi="Arial"/>
          <w:sz w:val="16"/>
          <w:szCs w:val="16"/>
          <w:color w:val="2F8B9E"/>
        </w:rPr>
      </w:pPr>
      <w:r>
        <w:rPr>
          <w:rFonts w:ascii="Arial" w:cs="Arial" w:eastAsia="Arial" w:hAnsi="Arial"/>
          <w:sz w:val="16"/>
          <w:szCs w:val="16"/>
          <w:color w:val="auto"/>
        </w:rPr>
        <w:t>Empire District Electric Company, 2009 - 2017</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194"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Ms. Lind brings to the Board CFO, Treasurer, financing, manufacturing, mergers and acquisitions, and public company board experience, including:</w:t>
      </w:r>
    </w:p>
    <w:p>
      <w:pPr>
        <w:spacing w:after="0" w:line="113" w:lineRule="exact"/>
        <w:rPr>
          <w:sz w:val="20"/>
          <w:szCs w:val="20"/>
          <w:color w:val="auto"/>
        </w:rPr>
      </w:pPr>
    </w:p>
    <w:p>
      <w:pPr>
        <w:ind w:left="160" w:right="60" w:hanging="154"/>
        <w:spacing w:after="0" w:line="248" w:lineRule="auto"/>
        <w:tabs>
          <w:tab w:leader="none" w:pos="160" w:val="left"/>
        </w:tabs>
        <w:numPr>
          <w:ilvl w:val="0"/>
          <w:numId w:val="19"/>
        </w:numPr>
        <w:rPr>
          <w:rFonts w:ascii="Arial" w:cs="Arial" w:eastAsia="Arial" w:hAnsi="Arial"/>
          <w:sz w:val="16"/>
          <w:szCs w:val="16"/>
          <w:color w:val="2F8B9E"/>
        </w:rPr>
      </w:pPr>
      <w:r>
        <w:rPr>
          <w:rFonts w:ascii="Arial" w:cs="Arial" w:eastAsia="Arial" w:hAnsi="Arial"/>
          <w:sz w:val="16"/>
          <w:szCs w:val="16"/>
          <w:color w:val="auto"/>
        </w:rPr>
        <w:t>Served as Senior Vice President, CFO and Treasurer of Neenah, Inc., a global manufacturer of technical specialties products, fine paper and packaging from June 2004 until October 2020.</w:t>
      </w:r>
    </w:p>
    <w:p>
      <w:pPr>
        <w:ind w:left="160" w:right="60" w:hanging="154"/>
        <w:spacing w:after="0" w:line="237" w:lineRule="auto"/>
        <w:tabs>
          <w:tab w:leader="none" w:pos="160" w:val="left"/>
        </w:tabs>
        <w:numPr>
          <w:ilvl w:val="0"/>
          <w:numId w:val="19"/>
        </w:numPr>
        <w:rPr>
          <w:rFonts w:ascii="Arial" w:cs="Arial" w:eastAsia="Arial" w:hAnsi="Arial"/>
          <w:sz w:val="16"/>
          <w:szCs w:val="16"/>
          <w:color w:val="2F8B9E"/>
        </w:rPr>
      </w:pPr>
      <w:r>
        <w:rPr>
          <w:rFonts w:ascii="Arial" w:cs="Arial" w:eastAsia="Arial" w:hAnsi="Arial"/>
          <w:sz w:val="16"/>
          <w:szCs w:val="16"/>
          <w:color w:val="auto"/>
        </w:rPr>
        <w:t>Experience as Assistant Treasurer of Kimberly-Clark Corporation, a manufacturer of personal care, consumer tissue and health care products.</w:t>
      </w:r>
    </w:p>
    <w:p>
      <w:pPr>
        <w:spacing w:after="0" w:line="1" w:lineRule="exact"/>
        <w:rPr>
          <w:rFonts w:ascii="Arial" w:cs="Arial" w:eastAsia="Arial" w:hAnsi="Arial"/>
          <w:sz w:val="16"/>
          <w:szCs w:val="16"/>
          <w:color w:val="2F8B9E"/>
        </w:rPr>
      </w:pPr>
    </w:p>
    <w:p>
      <w:pPr>
        <w:jc w:val="both"/>
        <w:ind w:left="160" w:right="60" w:hanging="154"/>
        <w:spacing w:after="0" w:line="246" w:lineRule="auto"/>
        <w:tabs>
          <w:tab w:leader="none" w:pos="160" w:val="left"/>
        </w:tabs>
        <w:numPr>
          <w:ilvl w:val="0"/>
          <w:numId w:val="19"/>
        </w:numPr>
        <w:rPr>
          <w:rFonts w:ascii="Arial" w:cs="Arial" w:eastAsia="Arial" w:hAnsi="Arial"/>
          <w:sz w:val="16"/>
          <w:szCs w:val="16"/>
          <w:color w:val="2F8B9E"/>
        </w:rPr>
      </w:pPr>
      <w:r>
        <w:rPr>
          <w:rFonts w:ascii="Arial" w:cs="Arial" w:eastAsia="Arial" w:hAnsi="Arial"/>
          <w:sz w:val="16"/>
          <w:szCs w:val="16"/>
          <w:color w:val="auto"/>
        </w:rPr>
        <w:t>Membership on the board of Mission Produce, Inc., a publicly traded worldwide avocado business, and Albany International Corp., a publicly traded developer and manufacturer of engineered components.</w:t>
      </w:r>
    </w:p>
    <w:p>
      <w:pPr>
        <w:spacing w:after="0" w:line="1" w:lineRule="exact"/>
        <w:rPr>
          <w:rFonts w:ascii="Arial" w:cs="Arial" w:eastAsia="Arial" w:hAnsi="Arial"/>
          <w:sz w:val="16"/>
          <w:szCs w:val="16"/>
          <w:color w:val="2F8B9E"/>
        </w:rPr>
      </w:pPr>
    </w:p>
    <w:p>
      <w:pPr>
        <w:ind w:left="160" w:right="60" w:hanging="154"/>
        <w:spacing w:after="0" w:line="237" w:lineRule="auto"/>
        <w:tabs>
          <w:tab w:leader="none" w:pos="160" w:val="left"/>
        </w:tabs>
        <w:numPr>
          <w:ilvl w:val="0"/>
          <w:numId w:val="19"/>
        </w:numPr>
        <w:rPr>
          <w:rFonts w:ascii="Arial" w:cs="Arial" w:eastAsia="Arial" w:hAnsi="Arial"/>
          <w:sz w:val="16"/>
          <w:szCs w:val="16"/>
          <w:color w:val="2F8B9E"/>
        </w:rPr>
      </w:pPr>
      <w:r>
        <w:rPr>
          <w:rFonts w:ascii="Arial" w:cs="Arial" w:eastAsia="Arial" w:hAnsi="Arial"/>
          <w:sz w:val="16"/>
          <w:szCs w:val="16"/>
          <w:color w:val="auto"/>
        </w:rPr>
        <w:t>Formerly served on the board of U.S. Silica Holdings, Inc., a publicly traded performance minerals company and one of the largest domestic producers of commercial silica.</w:t>
      </w:r>
    </w:p>
    <w:p>
      <w:pPr>
        <w:spacing w:after="0" w:line="1" w:lineRule="exact"/>
        <w:rPr>
          <w:rFonts w:ascii="Arial" w:cs="Arial" w:eastAsia="Arial" w:hAnsi="Arial"/>
          <w:sz w:val="16"/>
          <w:szCs w:val="16"/>
          <w:color w:val="2F8B9E"/>
        </w:rPr>
      </w:pPr>
    </w:p>
    <w:p>
      <w:pPr>
        <w:jc w:val="both"/>
        <w:ind w:left="160" w:right="60" w:hanging="154"/>
        <w:spacing w:after="0"/>
        <w:tabs>
          <w:tab w:leader="none" w:pos="160" w:val="left"/>
        </w:tabs>
        <w:numPr>
          <w:ilvl w:val="0"/>
          <w:numId w:val="19"/>
        </w:numPr>
        <w:rPr>
          <w:rFonts w:ascii="Arial" w:cs="Arial" w:eastAsia="Arial" w:hAnsi="Arial"/>
          <w:sz w:val="16"/>
          <w:szCs w:val="16"/>
          <w:color w:val="2F8B9E"/>
        </w:rPr>
      </w:pPr>
      <w:r>
        <w:rPr>
          <w:rFonts w:ascii="Arial" w:cs="Arial" w:eastAsia="Arial" w:hAnsi="Arial"/>
          <w:sz w:val="16"/>
          <w:szCs w:val="16"/>
          <w:color w:val="auto"/>
        </w:rPr>
        <w:t>Formerly served on the board of Federal Signal Corporation, a publicly traded international designer and manufacturer of products and solutions that serves municipal, governmental, industrial, and commercial customers.</w:t>
      </w:r>
    </w:p>
    <w:p>
      <w:pPr>
        <w:spacing w:after="0" w:line="1" w:lineRule="exact"/>
        <w:rPr>
          <w:rFonts w:ascii="Arial" w:cs="Arial" w:eastAsia="Arial" w:hAnsi="Arial"/>
          <w:sz w:val="16"/>
          <w:szCs w:val="16"/>
          <w:color w:val="2F8B9E"/>
        </w:rPr>
      </w:pPr>
    </w:p>
    <w:p>
      <w:pPr>
        <w:ind w:left="160" w:right="60" w:hanging="154"/>
        <w:spacing w:after="0" w:line="265" w:lineRule="auto"/>
        <w:tabs>
          <w:tab w:leader="none" w:pos="160" w:val="left"/>
        </w:tabs>
        <w:numPr>
          <w:ilvl w:val="0"/>
          <w:numId w:val="19"/>
        </w:numPr>
        <w:rPr>
          <w:rFonts w:ascii="Arial" w:cs="Arial" w:eastAsia="Arial" w:hAnsi="Arial"/>
          <w:sz w:val="16"/>
          <w:szCs w:val="16"/>
          <w:color w:val="2F8B9E"/>
        </w:rPr>
      </w:pPr>
      <w:r>
        <w:rPr>
          <w:rFonts w:ascii="Arial" w:cs="Arial" w:eastAsia="Arial" w:hAnsi="Arial"/>
          <w:sz w:val="16"/>
          <w:szCs w:val="16"/>
          <w:color w:val="auto"/>
        </w:rPr>
        <w:t>Formerly served on the board of Empire District Electric Company, a utility generating, transmitting, and distributing power to southwestern Missouri and adjacent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306705</wp:posOffset>
            </wp:positionV>
            <wp:extent cx="6300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536" w:lineRule="exact"/>
        <w:rPr>
          <w:sz w:val="20"/>
          <w:szCs w:val="20"/>
          <w:color w:val="auto"/>
        </w:rPr>
      </w:pPr>
    </w:p>
    <w:p>
      <w:pPr>
        <w:sectPr>
          <w:pgSz w:w="11900" w:h="16838" w:orient="portrait"/>
          <w:cols w:equalWidth="0" w:num="3">
            <w:col w:w="1160" w:space="240"/>
            <w:col w:w="2560" w:space="200"/>
            <w:col w:w="7080"/>
          </w:cols>
          <w:pgMar w:left="320" w:top="238" w:right="339" w:bottom="1440" w:gutter="0" w:footer="0" w:header="0"/>
          <w:type w:val="continuous"/>
        </w:sectPr>
      </w:pPr>
    </w:p>
    <w:p>
      <w:pPr>
        <w:jc w:val="both"/>
        <w:ind w:left="1320"/>
        <w:spacing w:after="0" w:line="266" w:lineRule="auto"/>
        <w:rPr>
          <w:sz w:val="20"/>
          <w:szCs w:val="20"/>
          <w:color w:val="auto"/>
        </w:rPr>
      </w:pPr>
      <w:r>
        <w:rPr>
          <w:rFonts w:ascii="Arial" w:cs="Arial" w:eastAsia="Arial" w:hAnsi="Arial"/>
          <w:sz w:val="16"/>
          <w:szCs w:val="16"/>
          <w:color w:val="auto"/>
        </w:rPr>
        <w:t>Ms. Lind served as Senior Vice President, CFO and Treasurer of Neenah, Inc. (a publicly traded technical specialties and fine paper company) from June 2004 to October 2020. Previously, Ms. Lind held a variety of increasingly senior financial and operations positions with Kimberly-Clark Corporation from 1982 until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143510</wp:posOffset>
            </wp:positionV>
            <wp:extent cx="265430" cy="2743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65430" cy="27432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143510</wp:posOffset>
            </wp:positionV>
            <wp:extent cx="283210" cy="29146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83210" cy="29146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143510</wp:posOffset>
            </wp:positionV>
            <wp:extent cx="274320" cy="2743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143510</wp:posOffset>
            </wp:positionV>
            <wp:extent cx="274320" cy="2743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143510</wp:posOffset>
            </wp:positionV>
            <wp:extent cx="282575" cy="28257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143510</wp:posOffset>
            </wp:positionV>
            <wp:extent cx="282575" cy="28257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143510</wp:posOffset>
            </wp:positionV>
            <wp:extent cx="265430" cy="2654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143510</wp:posOffset>
            </wp:positionV>
            <wp:extent cx="274320" cy="2743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
        <w:spacing w:after="0"/>
        <w:tabs>
          <w:tab w:leader="none" w:pos="1440" w:val="left"/>
          <w:tab w:leader="none" w:pos="3760" w:val="left"/>
          <w:tab w:leader="none" w:pos="4580" w:val="left"/>
          <w:tab w:leader="none" w:pos="6160" w:val="left"/>
          <w:tab w:leader="none" w:pos="7400" w:val="left"/>
          <w:tab w:leader="none" w:pos="8360" w:val="left"/>
          <w:tab w:leader="none" w:pos="9780" w:val="left"/>
        </w:tabs>
        <w:rPr>
          <w:sz w:val="20"/>
          <w:szCs w:val="20"/>
          <w:color w:val="auto"/>
        </w:rPr>
      </w:pPr>
      <w:r>
        <w:rPr>
          <w:rFonts w:ascii="Arial" w:cs="Arial" w:eastAsia="Arial" w:hAnsi="Arial"/>
          <w:sz w:val="14"/>
          <w:szCs w:val="14"/>
          <w:b w:val="1"/>
          <w:bCs w:val="1"/>
          <w:color w:val="auto"/>
        </w:rPr>
        <w:t>PUBLIC COMPANY</w:t>
        <w:tab/>
        <w:t>BUSINESS DEVELOPMENT</w:t>
      </w:r>
      <w:r>
        <w:rPr>
          <w:sz w:val="20"/>
          <w:szCs w:val="20"/>
          <w:color w:val="auto"/>
        </w:rPr>
        <w:tab/>
      </w:r>
      <w:r>
        <w:rPr>
          <w:rFonts w:ascii="Arial" w:cs="Arial" w:eastAsia="Arial" w:hAnsi="Arial"/>
          <w:sz w:val="14"/>
          <w:szCs w:val="14"/>
          <w:b w:val="1"/>
          <w:bCs w:val="1"/>
          <w:color w:val="auto"/>
        </w:rPr>
        <w:t>CEO</w:t>
      </w:r>
      <w:r>
        <w:rPr>
          <w:sz w:val="20"/>
          <w:szCs w:val="20"/>
          <w:color w:val="auto"/>
        </w:rPr>
        <w:tab/>
      </w:r>
      <w:r>
        <w:rPr>
          <w:rFonts w:ascii="Arial" w:cs="Arial" w:eastAsia="Arial" w:hAnsi="Arial"/>
          <w:sz w:val="14"/>
          <w:szCs w:val="14"/>
          <w:b w:val="1"/>
          <w:bCs w:val="1"/>
          <w:color w:val="auto"/>
        </w:rPr>
        <w:t>CYBERSECURITY</w:t>
      </w:r>
      <w:r>
        <w:rPr>
          <w:sz w:val="20"/>
          <w:szCs w:val="20"/>
          <w:color w:val="auto"/>
        </w:rPr>
        <w:tab/>
      </w:r>
      <w:r>
        <w:rPr>
          <w:rFonts w:ascii="Arial" w:cs="Arial" w:eastAsia="Arial" w:hAnsi="Arial"/>
          <w:sz w:val="14"/>
          <w:szCs w:val="14"/>
          <w:b w:val="1"/>
          <w:bCs w:val="1"/>
          <w:color w:val="auto"/>
        </w:rPr>
        <w:t>FINANCIAL</w:t>
      </w:r>
      <w:r>
        <w:rPr>
          <w:sz w:val="20"/>
          <w:szCs w:val="20"/>
          <w:color w:val="auto"/>
        </w:rPr>
        <w:tab/>
      </w:r>
      <w:r>
        <w:rPr>
          <w:rFonts w:ascii="Arial" w:cs="Arial" w:eastAsia="Arial" w:hAnsi="Arial"/>
          <w:sz w:val="14"/>
          <w:szCs w:val="14"/>
          <w:b w:val="1"/>
          <w:bCs w:val="1"/>
          <w:color w:val="auto"/>
        </w:rPr>
        <w:t>GLOBAL</w:t>
      </w:r>
      <w:r>
        <w:rPr>
          <w:sz w:val="20"/>
          <w:szCs w:val="20"/>
          <w:color w:val="auto"/>
        </w:rPr>
        <w:tab/>
      </w:r>
      <w:r>
        <w:rPr>
          <w:rFonts w:ascii="Arial" w:cs="Arial" w:eastAsia="Arial" w:hAnsi="Arial"/>
          <w:sz w:val="14"/>
          <w:szCs w:val="14"/>
          <w:b w:val="1"/>
          <w:bCs w:val="1"/>
          <w:color w:val="auto"/>
        </w:rPr>
        <w:t>MANUFACTURING</w:t>
        <w:tab/>
        <w:t>RISK MANAGEMENT</w:t>
      </w:r>
    </w:p>
    <w:p>
      <w:pPr>
        <w:spacing w:after="0" w:line="15" w:lineRule="exact"/>
        <w:rPr>
          <w:sz w:val="20"/>
          <w:szCs w:val="20"/>
          <w:color w:val="auto"/>
        </w:rPr>
      </w:pPr>
    </w:p>
    <w:p>
      <w:pPr>
        <w:ind w:left="400"/>
        <w:spacing w:after="0"/>
        <w:tabs>
          <w:tab w:leader="none" w:pos="1820" w:val="left"/>
          <w:tab w:leader="none" w:pos="4520" w:val="left"/>
        </w:tabs>
        <w:rPr>
          <w:sz w:val="20"/>
          <w:szCs w:val="20"/>
          <w:color w:val="auto"/>
        </w:rPr>
      </w:pPr>
      <w:r>
        <w:rPr>
          <w:rFonts w:ascii="Arial" w:cs="Arial" w:eastAsia="Arial" w:hAnsi="Arial"/>
          <w:sz w:val="14"/>
          <w:szCs w:val="14"/>
          <w:b w:val="1"/>
          <w:bCs w:val="1"/>
          <w:color w:val="auto"/>
        </w:rPr>
        <w:t>BOARD</w:t>
      </w:r>
      <w:r>
        <w:rPr>
          <w:sz w:val="20"/>
          <w:szCs w:val="20"/>
          <w:color w:val="auto"/>
        </w:rPr>
        <w:tab/>
      </w:r>
      <w:r>
        <w:rPr>
          <w:rFonts w:ascii="Arial" w:cs="Arial" w:eastAsia="Arial" w:hAnsi="Arial"/>
          <w:sz w:val="14"/>
          <w:szCs w:val="14"/>
          <w:b w:val="1"/>
          <w:bCs w:val="1"/>
          <w:color w:val="auto"/>
        </w:rPr>
        <w:t>AND STRATEGY</w:t>
      </w:r>
      <w:r>
        <w:rPr>
          <w:sz w:val="20"/>
          <w:szCs w:val="20"/>
          <w:color w:val="auto"/>
        </w:rPr>
        <w:tab/>
      </w:r>
      <w:r>
        <w:rPr>
          <w:rFonts w:ascii="Arial" w:cs="Arial" w:eastAsia="Arial" w:hAnsi="Arial"/>
          <w:sz w:val="14"/>
          <w:szCs w:val="14"/>
          <w:b w:val="1"/>
          <w:bCs w:val="1"/>
          <w:color w:val="auto"/>
        </w:rPr>
        <w:t>AND TECHNOLOGY</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20</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77152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1525" cy="77152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118110</wp:posOffset>
            </wp:positionV>
            <wp:extent cx="2339975" cy="28321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339975" cy="283210"/>
                    </a:xfrm>
                    <a:prstGeom prst="rect">
                      <a:avLst/>
                    </a:prstGeom>
                    <a:noFill/>
                  </pic:spPr>
                </pic:pic>
              </a:graphicData>
            </a:graphic>
          </wp:anchor>
        </w:drawing>
      </w:r>
    </w:p>
    <w:p>
      <w:pPr>
        <w:spacing w:after="0" w:line="172" w:lineRule="exact"/>
        <w:rPr>
          <w:sz w:val="20"/>
          <w:szCs w:val="20"/>
          <w:color w:val="auto"/>
        </w:rPr>
      </w:pPr>
    </w:p>
    <w:p>
      <w:pPr>
        <w:jc w:val="right"/>
        <w:ind w:right="7960"/>
        <w:spacing w:after="0"/>
        <w:rPr>
          <w:sz w:val="20"/>
          <w:szCs w:val="20"/>
          <w:color w:val="auto"/>
        </w:rPr>
      </w:pPr>
      <w:r>
        <w:rPr>
          <w:rFonts w:ascii="Arial" w:cs="Arial" w:eastAsia="Arial" w:hAnsi="Arial"/>
          <w:sz w:val="29"/>
          <w:szCs w:val="29"/>
          <w:b w:val="1"/>
          <w:bCs w:val="1"/>
          <w:color w:val="auto"/>
        </w:rPr>
        <w:t>John F.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118745</wp:posOffset>
            </wp:positionV>
            <wp:extent cx="6300470" cy="15430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300470" cy="154305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2011</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100" w:lineRule="exact"/>
        <w:rPr>
          <w:sz w:val="20"/>
          <w:szCs w:val="20"/>
          <w:color w:val="auto"/>
        </w:rPr>
      </w:pPr>
    </w:p>
    <w:p>
      <w:pPr>
        <w:ind w:right="180"/>
        <w:spacing w:after="0" w:line="263" w:lineRule="auto"/>
        <w:rPr>
          <w:sz w:val="20"/>
          <w:szCs w:val="20"/>
          <w:color w:val="auto"/>
        </w:rPr>
      </w:pPr>
      <w:r>
        <w:rPr>
          <w:rFonts w:ascii="Arial" w:cs="Arial" w:eastAsia="Arial" w:hAnsi="Arial"/>
          <w:sz w:val="16"/>
          <w:szCs w:val="16"/>
          <w:b w:val="1"/>
          <w:bCs w:val="1"/>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516890</wp:posOffset>
            </wp:positionV>
            <wp:extent cx="771525" cy="77152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left="80"/>
        <w:spacing w:after="0"/>
        <w:tabs>
          <w:tab w:leader="none" w:pos="2780" w:val="left"/>
        </w:tabs>
        <w:rPr>
          <w:sz w:val="20"/>
          <w:szCs w:val="20"/>
          <w:color w:val="auto"/>
        </w:rPr>
      </w:pPr>
      <w:r>
        <w:rPr>
          <w:rFonts w:ascii="Arial" w:cs="Arial" w:eastAsia="Arial" w:hAnsi="Arial"/>
          <w:sz w:val="16"/>
          <w:szCs w:val="16"/>
          <w:b w:val="1"/>
          <w:bCs w:val="1"/>
          <w:color w:val="auto"/>
        </w:rPr>
        <w:t>COMMITTEES:</w:t>
      </w:r>
      <w:r>
        <w:rPr>
          <w:sz w:val="20"/>
          <w:szCs w:val="20"/>
          <w:color w:val="auto"/>
        </w:rPr>
        <w:tab/>
      </w:r>
      <w:r>
        <w:rPr>
          <w:rFonts w:ascii="Arial" w:cs="Arial" w:eastAsia="Arial" w:hAnsi="Arial"/>
          <w:sz w:val="16"/>
          <w:szCs w:val="16"/>
          <w:b w:val="1"/>
          <w:bCs w:val="1"/>
          <w:color w:val="auto"/>
        </w:rPr>
        <w:t>QUALIFICATIONS:</w:t>
      </w:r>
    </w:p>
    <w:p>
      <w:pPr>
        <w:spacing w:after="0" w:line="21" w:lineRule="exact"/>
        <w:rPr>
          <w:sz w:val="20"/>
          <w:szCs w:val="20"/>
          <w:color w:val="auto"/>
        </w:rPr>
      </w:pPr>
    </w:p>
    <w:p>
      <w:pPr>
        <w:ind w:left="240" w:hanging="153"/>
        <w:spacing w:after="0"/>
        <w:tabs>
          <w:tab w:leader="none" w:pos="240" w:val="left"/>
        </w:tabs>
        <w:numPr>
          <w:ilvl w:val="0"/>
          <w:numId w:val="20"/>
        </w:numPr>
        <w:rPr>
          <w:rFonts w:ascii="Arial" w:cs="Arial" w:eastAsia="Arial" w:hAnsi="Arial"/>
          <w:sz w:val="16"/>
          <w:szCs w:val="16"/>
          <w:color w:val="2F8B9E"/>
        </w:rPr>
      </w:pPr>
      <w:r>
        <w:rPr>
          <w:rFonts w:ascii="Arial" w:cs="Arial" w:eastAsia="Arial" w:hAnsi="Arial"/>
          <w:sz w:val="16"/>
          <w:szCs w:val="16"/>
          <w:color w:val="auto"/>
        </w:rPr>
        <w:t>Audit</w:t>
      </w:r>
    </w:p>
    <w:p>
      <w:pPr>
        <w:spacing w:after="0" w:line="5" w:lineRule="exact"/>
        <w:rPr>
          <w:sz w:val="20"/>
          <w:szCs w:val="20"/>
          <w:color w:val="auto"/>
        </w:rPr>
      </w:pPr>
    </w:p>
    <w:p>
      <w:pPr>
        <w:ind w:left="80"/>
        <w:spacing w:after="0"/>
        <w:tabs>
          <w:tab w:leader="none" w:pos="2780" w:val="left"/>
        </w:tabs>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Executive</w:t>
      </w:r>
      <w:r>
        <w:rPr>
          <w:sz w:val="20"/>
          <w:szCs w:val="20"/>
          <w:color w:val="auto"/>
        </w:rPr>
        <w:tab/>
      </w:r>
      <w:r>
        <w:rPr>
          <w:rFonts w:ascii="Arial" w:cs="Arial" w:eastAsia="Arial" w:hAnsi="Arial"/>
          <w:sz w:val="16"/>
          <w:szCs w:val="16"/>
          <w:b w:val="1"/>
          <w:bCs w:val="1"/>
          <w:color w:val="auto"/>
        </w:rPr>
        <w:t>Mr. Malloy brings to the Board many years of senior management, operations, economic</w:t>
      </w:r>
    </w:p>
    <w:p>
      <w:pPr>
        <w:spacing w:after="0" w:line="5" w:lineRule="exact"/>
        <w:rPr>
          <w:sz w:val="20"/>
          <w:szCs w:val="20"/>
          <w:color w:val="auto"/>
        </w:rPr>
      </w:pPr>
    </w:p>
    <w:p>
      <w:pPr>
        <w:ind w:left="80"/>
        <w:spacing w:after="0"/>
        <w:tabs>
          <w:tab w:leader="none" w:pos="2780" w:val="left"/>
        </w:tabs>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Finance (Chair)</w:t>
      </w:r>
      <w:r>
        <w:rPr>
          <w:sz w:val="20"/>
          <w:szCs w:val="20"/>
          <w:color w:val="auto"/>
        </w:rPr>
        <w:tab/>
      </w:r>
      <w:r>
        <w:rPr>
          <w:rFonts w:ascii="Arial" w:cs="Arial" w:eastAsia="Arial" w:hAnsi="Arial"/>
          <w:sz w:val="16"/>
          <w:szCs w:val="16"/>
          <w:b w:val="1"/>
          <w:bCs w:val="1"/>
          <w:color w:val="auto"/>
        </w:rPr>
        <w:t>and strategic planning experience having served as the CEO and COO of a global</w:t>
      </w:r>
    </w:p>
    <w:p>
      <w:pPr>
        <w:spacing w:after="0" w:line="5" w:lineRule="exact"/>
        <w:rPr>
          <w:sz w:val="20"/>
          <w:szCs w:val="20"/>
          <w:color w:val="auto"/>
        </w:rPr>
      </w:pPr>
    </w:p>
    <w:p>
      <w:pPr>
        <w:jc w:val="center"/>
        <w:ind w:right="300"/>
        <w:spacing w:after="0"/>
        <w:rPr>
          <w:sz w:val="20"/>
          <w:szCs w:val="20"/>
          <w:color w:val="auto"/>
        </w:rPr>
      </w:pPr>
      <w:r>
        <w:rPr>
          <w:rFonts w:ascii="Arial" w:cs="Arial" w:eastAsia="Arial" w:hAnsi="Arial"/>
          <w:sz w:val="16"/>
          <w:szCs w:val="16"/>
          <w:b w:val="1"/>
          <w:bCs w:val="1"/>
          <w:color w:val="auto"/>
        </w:rPr>
        <w:t>manufacturing and distribution company, including:</w:t>
      </w:r>
    </w:p>
    <w:p>
      <w:pPr>
        <w:spacing w:after="0" w:line="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DIRECTORSHIPS:</w:t>
      </w:r>
    </w:p>
    <w:p>
      <w:pPr>
        <w:spacing w:after="0" w:line="5" w:lineRule="exact"/>
        <w:rPr>
          <w:sz w:val="20"/>
          <w:szCs w:val="20"/>
          <w:color w:val="auto"/>
        </w:rPr>
      </w:pPr>
    </w:p>
    <w:p>
      <w:pPr>
        <w:ind w:left="240" w:hanging="153"/>
        <w:spacing w:after="0"/>
        <w:tabs>
          <w:tab w:leader="none" w:pos="240" w:val="left"/>
        </w:tabs>
        <w:numPr>
          <w:ilvl w:val="0"/>
          <w:numId w:val="21"/>
        </w:numPr>
        <w:rPr>
          <w:rFonts w:ascii="Arial" w:cs="Arial" w:eastAsia="Arial" w:hAnsi="Arial"/>
          <w:sz w:val="16"/>
          <w:szCs w:val="16"/>
          <w:color w:val="2F8B9E"/>
        </w:rPr>
      </w:pPr>
      <w:r>
        <w:rPr>
          <w:rFonts w:ascii="Arial" w:cs="Arial" w:eastAsia="Arial" w:hAnsi="Arial"/>
          <w:sz w:val="16"/>
          <w:szCs w:val="16"/>
          <w:color w:val="auto"/>
        </w:rPr>
        <w:t>Victaulic Company, since 2004</w:t>
      </w:r>
      <w:r>
        <w:rPr>
          <w:rFonts w:ascii="Arial" w:cs="Arial" w:eastAsia="Arial" w:hAnsi="Arial"/>
          <w:sz w:val="16"/>
          <w:szCs w:val="16"/>
          <w:color w:val="2F8B9E"/>
        </w:rPr>
        <w:t xml:space="preserve">• </w:t>
      </w:r>
      <w:r>
        <w:rPr>
          <w:rFonts w:ascii="Arial" w:cs="Arial" w:eastAsia="Arial" w:hAnsi="Arial"/>
          <w:sz w:val="16"/>
          <w:szCs w:val="16"/>
          <w:color w:val="000000"/>
        </w:rPr>
        <w:t>Serving as Executive Chairman of the Board of Victaulic Company, a privately held mechanical</w:t>
      </w:r>
    </w:p>
    <w:p>
      <w:pPr>
        <w:ind w:left="80"/>
        <w:spacing w:after="0" w:line="235" w:lineRule="auto"/>
        <w:tabs>
          <w:tab w:leader="none" w:pos="2940" w:val="left"/>
        </w:tabs>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Hollingsworth &amp; Vose, since</w:t>
      </w:r>
      <w:r>
        <w:rPr>
          <w:sz w:val="20"/>
          <w:szCs w:val="20"/>
          <w:color w:val="auto"/>
        </w:rPr>
        <w:tab/>
      </w:r>
      <w:r>
        <w:rPr>
          <w:rFonts w:ascii="Arial" w:cs="Arial" w:eastAsia="Arial" w:hAnsi="Arial"/>
          <w:sz w:val="16"/>
          <w:szCs w:val="16"/>
          <w:color w:val="auto"/>
        </w:rPr>
        <w:t>pipe joining systems company.</w:t>
      </w:r>
    </w:p>
    <w:p>
      <w:pPr>
        <w:ind w:left="240"/>
        <w:spacing w:after="0" w:line="229" w:lineRule="auto"/>
        <w:tabs>
          <w:tab w:leader="none" w:pos="2780" w:val="left"/>
        </w:tabs>
        <w:rPr>
          <w:sz w:val="20"/>
          <w:szCs w:val="20"/>
          <w:color w:val="auto"/>
        </w:rPr>
      </w:pPr>
      <w:r>
        <w:rPr>
          <w:rFonts w:ascii="Arial" w:cs="Arial" w:eastAsia="Arial" w:hAnsi="Arial"/>
          <w:sz w:val="16"/>
          <w:szCs w:val="16"/>
          <w:color w:val="auto"/>
        </w:rPr>
        <w:t>2006</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Served as President and CEO of Victaulic Company from 2006 to January 2021.</w:t>
      </w:r>
    </w:p>
    <w:p>
      <w:pPr>
        <w:ind w:left="2800"/>
        <w:spacing w:after="0"/>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Over fifteen years of experience in various senior management operating roles at United</w:t>
      </w:r>
    </w:p>
    <w:p>
      <w:pPr>
        <w:spacing w:after="0" w:line="5" w:lineRule="exact"/>
        <w:rPr>
          <w:sz w:val="20"/>
          <w:szCs w:val="20"/>
          <w:color w:val="auto"/>
        </w:rPr>
      </w:pPr>
    </w:p>
    <w:p>
      <w:pPr>
        <w:ind w:left="2960"/>
        <w:spacing w:after="0"/>
        <w:rPr>
          <w:sz w:val="20"/>
          <w:szCs w:val="20"/>
          <w:color w:val="auto"/>
        </w:rPr>
      </w:pPr>
      <w:r>
        <w:rPr>
          <w:rFonts w:ascii="Arial" w:cs="Arial" w:eastAsia="Arial" w:hAnsi="Arial"/>
          <w:sz w:val="16"/>
          <w:szCs w:val="16"/>
          <w:color w:val="auto"/>
        </w:rPr>
        <w:t>Technologies Corporation.</w:t>
      </w:r>
    </w:p>
    <w:p>
      <w:pPr>
        <w:spacing w:after="0" w:line="5" w:lineRule="exact"/>
        <w:rPr>
          <w:sz w:val="20"/>
          <w:szCs w:val="20"/>
          <w:color w:val="auto"/>
        </w:rPr>
      </w:pPr>
    </w:p>
    <w:p>
      <w:pPr>
        <w:ind w:left="2800"/>
        <w:spacing w:after="0"/>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Holds a Ph.D. in economics and has taught courses in economics at Hamilton College.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45085</wp:posOffset>
            </wp:positionV>
            <wp:extent cx="6300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Mr. Malloy has served as the Executive Chairman of the board of Victaulic Company (a privately held mechanical pipe joining systems company) since January 2021. Previously, he held the position of Chairman, President and Chief Executive Officer from 2006 to January 2021, President and Chief Executive Officer from 2004 to 2006, and President and Chief Operating Officer from 2002 to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212090</wp:posOffset>
            </wp:positionV>
            <wp:extent cx="2005965" cy="2825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005965" cy="2825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60" w:space="160"/>
            <w:col w:w="9920"/>
          </w:cols>
          <w:pgMar w:left="320" w:top="238" w:right="339" w:bottom="1440" w:gutter="0" w:footer="0" w:header="0"/>
          <w:type w:val="continuous"/>
        </w:sectPr>
      </w:pPr>
    </w:p>
    <w:p>
      <w:pPr>
        <w:spacing w:after="0" w:line="140" w:lineRule="exact"/>
        <w:rPr>
          <w:sz w:val="20"/>
          <w:szCs w:val="20"/>
          <w:color w:val="auto"/>
        </w:rPr>
      </w:pPr>
    </w:p>
    <w:p>
      <w:pPr>
        <w:ind w:left="1320"/>
        <w:spacing w:after="0"/>
        <w:rPr>
          <w:sz w:val="20"/>
          <w:szCs w:val="20"/>
          <w:color w:val="auto"/>
        </w:rPr>
      </w:pPr>
      <w:r>
        <w:rPr>
          <w:rFonts w:ascii="Arial" w:cs="Arial" w:eastAsia="Arial" w:hAnsi="Arial"/>
          <w:sz w:val="28"/>
          <w:szCs w:val="28"/>
          <w:b w:val="1"/>
          <w:bCs w:val="1"/>
          <w:color w:val="auto"/>
        </w:rPr>
        <w:t>Jennifer M. Pollino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125730</wp:posOffset>
            </wp:positionV>
            <wp:extent cx="6300470" cy="18942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00470" cy="18942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w:t>
      </w:r>
    </w:p>
    <w:p>
      <w:pPr>
        <w:spacing w:after="0" w:line="21" w:lineRule="exact"/>
        <w:rPr>
          <w:sz w:val="20"/>
          <w:szCs w:val="20"/>
          <w:color w:val="auto"/>
        </w:rPr>
      </w:pPr>
    </w:p>
    <w:p>
      <w:pPr>
        <w:ind w:left="160" w:hanging="153"/>
        <w:spacing w:after="0"/>
        <w:tabs>
          <w:tab w:leader="none" w:pos="160" w:val="left"/>
        </w:tabs>
        <w:numPr>
          <w:ilvl w:val="0"/>
          <w:numId w:val="22"/>
        </w:numPr>
        <w:rPr>
          <w:rFonts w:ascii="Arial" w:cs="Arial" w:eastAsia="Arial" w:hAnsi="Arial"/>
          <w:sz w:val="16"/>
          <w:szCs w:val="16"/>
          <w:color w:val="2F8B9E"/>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2F8B9E"/>
        </w:rPr>
      </w:pPr>
    </w:p>
    <w:p>
      <w:pPr>
        <w:ind w:left="160" w:right="420" w:hanging="153"/>
        <w:spacing w:after="0" w:line="265" w:lineRule="auto"/>
        <w:tabs>
          <w:tab w:leader="none" w:pos="163" w:val="left"/>
        </w:tabs>
        <w:numPr>
          <w:ilvl w:val="0"/>
          <w:numId w:val="22"/>
        </w:numPr>
        <w:rPr>
          <w:rFonts w:ascii="Arial" w:cs="Arial" w:eastAsia="Arial" w:hAnsi="Arial"/>
          <w:sz w:val="16"/>
          <w:szCs w:val="16"/>
          <w:color w:val="2F8B9E"/>
        </w:rPr>
      </w:pPr>
      <w:r>
        <w:rPr>
          <w:rFonts w:ascii="Arial" w:cs="Arial" w:eastAsia="Arial" w:hAnsi="Arial"/>
          <w:sz w:val="16"/>
          <w:szCs w:val="16"/>
          <w:color w:val="auto"/>
        </w:rPr>
        <w:t>Nominating and Corporate Governance</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DIRECTORSHIP:</w:t>
      </w:r>
    </w:p>
    <w:p>
      <w:pPr>
        <w:spacing w:after="0" w:line="21" w:lineRule="exact"/>
        <w:rPr>
          <w:sz w:val="20"/>
          <w:szCs w:val="20"/>
          <w:color w:val="auto"/>
        </w:rPr>
      </w:pPr>
    </w:p>
    <w:p>
      <w:pPr>
        <w:ind w:left="160" w:hanging="153"/>
        <w:spacing w:after="0"/>
        <w:tabs>
          <w:tab w:leader="none" w:pos="160" w:val="left"/>
        </w:tabs>
        <w:numPr>
          <w:ilvl w:val="0"/>
          <w:numId w:val="23"/>
        </w:numPr>
        <w:rPr>
          <w:rFonts w:ascii="Arial" w:cs="Arial" w:eastAsia="Arial" w:hAnsi="Arial"/>
          <w:sz w:val="16"/>
          <w:szCs w:val="16"/>
          <w:color w:val="2F8B9E"/>
        </w:rPr>
      </w:pPr>
      <w:r>
        <w:rPr>
          <w:rFonts w:ascii="Arial" w:cs="Arial" w:eastAsia="Arial" w:hAnsi="Arial"/>
          <w:sz w:val="16"/>
          <w:szCs w:val="16"/>
          <w:color w:val="auto"/>
        </w:rPr>
        <w:t>Crane Co., since 2013</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PRIOR DIRECTORSHIPS:</w:t>
      </w:r>
    </w:p>
    <w:p>
      <w:pPr>
        <w:spacing w:after="0" w:line="21" w:lineRule="exact"/>
        <w:rPr>
          <w:sz w:val="20"/>
          <w:szCs w:val="20"/>
          <w:color w:val="auto"/>
        </w:rPr>
      </w:pPr>
    </w:p>
    <w:p>
      <w:pPr>
        <w:ind w:left="160" w:hanging="153"/>
        <w:spacing w:after="0" w:line="246" w:lineRule="auto"/>
        <w:tabs>
          <w:tab w:leader="none" w:pos="163" w:val="left"/>
        </w:tabs>
        <w:numPr>
          <w:ilvl w:val="0"/>
          <w:numId w:val="24"/>
        </w:numPr>
        <w:rPr>
          <w:rFonts w:ascii="Arial" w:cs="Arial" w:eastAsia="Arial" w:hAnsi="Arial"/>
          <w:sz w:val="16"/>
          <w:szCs w:val="16"/>
          <w:color w:val="2F8B9E"/>
        </w:rPr>
      </w:pPr>
      <w:r>
        <w:rPr>
          <w:rFonts w:ascii="Arial" w:cs="Arial" w:eastAsia="Arial" w:hAnsi="Arial"/>
          <w:sz w:val="16"/>
          <w:szCs w:val="16"/>
          <w:color w:val="auto"/>
        </w:rPr>
        <w:t>Kaman Corporation, 2015 - April 2024</w:t>
      </w:r>
    </w:p>
    <w:p>
      <w:pPr>
        <w:ind w:left="160" w:right="200" w:hanging="153"/>
        <w:spacing w:after="0" w:line="265" w:lineRule="auto"/>
        <w:tabs>
          <w:tab w:leader="none" w:pos="163" w:val="left"/>
        </w:tabs>
        <w:numPr>
          <w:ilvl w:val="0"/>
          <w:numId w:val="24"/>
        </w:numPr>
        <w:rPr>
          <w:rFonts w:ascii="Arial" w:cs="Arial" w:eastAsia="Arial" w:hAnsi="Arial"/>
          <w:sz w:val="16"/>
          <w:szCs w:val="16"/>
          <w:color w:val="2F8B9E"/>
        </w:rPr>
      </w:pPr>
      <w:r>
        <w:rPr>
          <w:rFonts w:ascii="Arial" w:cs="Arial" w:eastAsia="Arial" w:hAnsi="Arial"/>
          <w:sz w:val="16"/>
          <w:szCs w:val="16"/>
          <w:color w:val="auto"/>
        </w:rPr>
        <w:t>Wesco Aircraft Holdings, Inc., 2014 - 2020</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QUALIFICATIONS:</w:t>
      </w:r>
    </w:p>
    <w:p>
      <w:pPr>
        <w:spacing w:after="0" w:line="194" w:lineRule="exact"/>
        <w:rPr>
          <w:sz w:val="20"/>
          <w:szCs w:val="20"/>
          <w:color w:val="auto"/>
        </w:rPr>
      </w:pPr>
    </w:p>
    <w:p>
      <w:pPr>
        <w:jc w:val="both"/>
        <w:ind w:right="60"/>
        <w:spacing w:after="0" w:line="271" w:lineRule="auto"/>
        <w:rPr>
          <w:sz w:val="20"/>
          <w:szCs w:val="20"/>
          <w:color w:val="auto"/>
        </w:rPr>
      </w:pPr>
      <w:r>
        <w:rPr>
          <w:rFonts w:ascii="Arial" w:cs="Arial" w:eastAsia="Arial" w:hAnsi="Arial"/>
          <w:sz w:val="16"/>
          <w:szCs w:val="16"/>
          <w:b w:val="1"/>
          <w:bCs w:val="1"/>
          <w:color w:val="auto"/>
        </w:rPr>
        <w:t>Ms. Pollino brings to the Board extensive senior management experience, public company board experience and a strong background in accounting, finance, corporate governance, intellectual capital, and organizational issues, including:</w:t>
      </w:r>
    </w:p>
    <w:p>
      <w:pPr>
        <w:spacing w:after="0" w:line="133" w:lineRule="exact"/>
        <w:rPr>
          <w:sz w:val="20"/>
          <w:szCs w:val="20"/>
          <w:color w:val="auto"/>
        </w:rPr>
      </w:pPr>
    </w:p>
    <w:p>
      <w:pPr>
        <w:ind w:left="160" w:hanging="154"/>
        <w:spacing w:after="0"/>
        <w:tabs>
          <w:tab w:leader="none" w:pos="160" w:val="left"/>
        </w:tabs>
        <w:numPr>
          <w:ilvl w:val="0"/>
          <w:numId w:val="25"/>
        </w:numPr>
        <w:rPr>
          <w:rFonts w:ascii="Arial" w:cs="Arial" w:eastAsia="Arial" w:hAnsi="Arial"/>
          <w:sz w:val="16"/>
          <w:szCs w:val="16"/>
          <w:color w:val="2F8B9E"/>
        </w:rPr>
      </w:pPr>
      <w:r>
        <w:rPr>
          <w:rFonts w:ascii="Arial" w:cs="Arial" w:eastAsia="Arial" w:hAnsi="Arial"/>
          <w:sz w:val="16"/>
          <w:szCs w:val="16"/>
          <w:color w:val="auto"/>
        </w:rPr>
        <w:t>Serving as an Executive Coach and Consultant with JMPollino LLC since July 2012.</w:t>
      </w:r>
    </w:p>
    <w:p>
      <w:pPr>
        <w:spacing w:after="0" w:line="7" w:lineRule="exact"/>
        <w:rPr>
          <w:rFonts w:ascii="Arial" w:cs="Arial" w:eastAsia="Arial" w:hAnsi="Arial"/>
          <w:sz w:val="16"/>
          <w:szCs w:val="16"/>
          <w:color w:val="2F8B9E"/>
        </w:rPr>
      </w:pPr>
    </w:p>
    <w:p>
      <w:pPr>
        <w:ind w:left="160" w:right="60" w:hanging="154"/>
        <w:spacing w:after="0" w:line="237" w:lineRule="auto"/>
        <w:tabs>
          <w:tab w:leader="none" w:pos="160" w:val="left"/>
        </w:tabs>
        <w:numPr>
          <w:ilvl w:val="0"/>
          <w:numId w:val="25"/>
        </w:numPr>
        <w:rPr>
          <w:rFonts w:ascii="Arial" w:cs="Arial" w:eastAsia="Arial" w:hAnsi="Arial"/>
          <w:sz w:val="16"/>
          <w:szCs w:val="16"/>
          <w:color w:val="2F8B9E"/>
        </w:rPr>
      </w:pPr>
      <w:r>
        <w:rPr>
          <w:rFonts w:ascii="Arial" w:cs="Arial" w:eastAsia="Arial" w:hAnsi="Arial"/>
          <w:sz w:val="16"/>
          <w:szCs w:val="16"/>
          <w:color w:val="auto"/>
        </w:rPr>
        <w:t>Over 20 years in senior executive and general management roles with a leading aerospace products company.</w:t>
      </w:r>
    </w:p>
    <w:p>
      <w:pPr>
        <w:spacing w:after="0" w:line="1" w:lineRule="exact"/>
        <w:rPr>
          <w:rFonts w:ascii="Arial" w:cs="Arial" w:eastAsia="Arial" w:hAnsi="Arial"/>
          <w:sz w:val="16"/>
          <w:szCs w:val="16"/>
          <w:color w:val="2F8B9E"/>
        </w:rPr>
      </w:pPr>
    </w:p>
    <w:p>
      <w:pPr>
        <w:ind w:left="160" w:right="60" w:hanging="154"/>
        <w:spacing w:after="0" w:line="246" w:lineRule="auto"/>
        <w:tabs>
          <w:tab w:leader="none" w:pos="160" w:val="left"/>
        </w:tabs>
        <w:numPr>
          <w:ilvl w:val="0"/>
          <w:numId w:val="25"/>
        </w:numPr>
        <w:rPr>
          <w:rFonts w:ascii="Arial" w:cs="Arial" w:eastAsia="Arial" w:hAnsi="Arial"/>
          <w:sz w:val="16"/>
          <w:szCs w:val="16"/>
          <w:color w:val="2F8B9E"/>
        </w:rPr>
      </w:pPr>
      <w:r>
        <w:rPr>
          <w:rFonts w:ascii="Arial" w:cs="Arial" w:eastAsia="Arial" w:hAnsi="Arial"/>
          <w:sz w:val="16"/>
          <w:szCs w:val="16"/>
          <w:color w:val="auto"/>
        </w:rPr>
        <w:t>Experience in finance and accounting as Vice President, Finance and Controller of two Goodrich Corporation divisions and Controller of a savings and loan association.</w:t>
      </w:r>
    </w:p>
    <w:p>
      <w:pPr>
        <w:ind w:left="160" w:hanging="154"/>
        <w:spacing w:after="0" w:line="228" w:lineRule="auto"/>
        <w:tabs>
          <w:tab w:leader="none" w:pos="160" w:val="left"/>
        </w:tabs>
        <w:numPr>
          <w:ilvl w:val="0"/>
          <w:numId w:val="25"/>
        </w:numPr>
        <w:rPr>
          <w:rFonts w:ascii="Arial" w:cs="Arial" w:eastAsia="Arial" w:hAnsi="Arial"/>
          <w:sz w:val="16"/>
          <w:szCs w:val="16"/>
          <w:color w:val="2F8B9E"/>
        </w:rPr>
      </w:pPr>
      <w:r>
        <w:rPr>
          <w:rFonts w:ascii="Arial" w:cs="Arial" w:eastAsia="Arial" w:hAnsi="Arial"/>
          <w:sz w:val="16"/>
          <w:szCs w:val="16"/>
          <w:color w:val="auto"/>
        </w:rPr>
        <w:t>Certified Public Accountant.</w:t>
      </w:r>
    </w:p>
    <w:p>
      <w:pPr>
        <w:ind w:left="160" w:hanging="154"/>
        <w:spacing w:after="0" w:line="228" w:lineRule="auto"/>
        <w:tabs>
          <w:tab w:leader="none" w:pos="160" w:val="left"/>
        </w:tabs>
        <w:numPr>
          <w:ilvl w:val="0"/>
          <w:numId w:val="25"/>
        </w:numPr>
        <w:rPr>
          <w:rFonts w:ascii="Arial" w:cs="Arial" w:eastAsia="Arial" w:hAnsi="Arial"/>
          <w:sz w:val="16"/>
          <w:szCs w:val="16"/>
          <w:color w:val="2F8B9E"/>
        </w:rPr>
      </w:pPr>
      <w:r>
        <w:rPr>
          <w:rFonts w:ascii="Arial" w:cs="Arial" w:eastAsia="Arial" w:hAnsi="Arial"/>
          <w:sz w:val="16"/>
          <w:szCs w:val="16"/>
          <w:color w:val="auto"/>
        </w:rPr>
        <w:t>Serving as a Director of the National Association of Corporate Directors - Carolinas Chapter.</w:t>
      </w:r>
    </w:p>
    <w:p>
      <w:pPr>
        <w:ind w:left="160" w:right="60" w:hanging="154"/>
        <w:spacing w:after="0" w:line="265" w:lineRule="auto"/>
        <w:tabs>
          <w:tab w:leader="none" w:pos="160" w:val="left"/>
        </w:tabs>
        <w:numPr>
          <w:ilvl w:val="0"/>
          <w:numId w:val="25"/>
        </w:numPr>
        <w:rPr>
          <w:rFonts w:ascii="Arial" w:cs="Arial" w:eastAsia="Arial" w:hAnsi="Arial"/>
          <w:sz w:val="16"/>
          <w:szCs w:val="16"/>
          <w:color w:val="2F8B9E"/>
        </w:rPr>
      </w:pPr>
      <w:r>
        <w:rPr>
          <w:rFonts w:ascii="Arial" w:cs="Arial" w:eastAsia="Arial" w:hAnsi="Arial"/>
          <w:sz w:val="16"/>
          <w:szCs w:val="16"/>
          <w:color w:val="auto"/>
        </w:rPr>
        <w:t>Served as Lead Director of Kaman Corporation, a formerly publicly traded aerospace and industrial distribution company from 2021 to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32385</wp:posOffset>
            </wp:positionV>
            <wp:extent cx="6300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300470" cy="889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3">
            <w:col w:w="1160" w:space="240"/>
            <w:col w:w="2480" w:space="280"/>
            <w:col w:w="7080"/>
          </w:cols>
          <w:pgMar w:left="320" w:top="238" w:right="339" w:bottom="1440" w:gutter="0" w:footer="0" w:header="0"/>
          <w:type w:val="continuous"/>
        </w:sectPr>
      </w:pPr>
    </w:p>
    <w:p>
      <w:pPr>
        <w:jc w:val="both"/>
        <w:ind w:left="1320"/>
        <w:spacing w:after="0" w:line="254" w:lineRule="auto"/>
        <w:rPr>
          <w:sz w:val="20"/>
          <w:szCs w:val="20"/>
          <w:color w:val="auto"/>
        </w:rPr>
      </w:pPr>
      <w:r>
        <w:rPr>
          <w:rFonts w:ascii="Arial" w:cs="Arial" w:eastAsia="Arial" w:hAnsi="Arial"/>
          <w:sz w:val="16"/>
          <w:szCs w:val="16"/>
          <w:color w:val="auto"/>
        </w:rPr>
        <w:t>Ms. Pollino has served as an executive coach and consultant with JMPollino LLC, a leadership development, talent management and succession planning firm since July 2012. Previously she served as Executive Vice President, Human Resources and Communications, at Goodrich Corporation (aerospace products manufacturer) from February 2005 to July 2012, when Goodrich Corporation was acquired by United Technologies Corporation. Prior to that, she served in various other positions of increasing responsibility during her 20-year tenure with Goodrich Corporation, including President and General Manager of Goodrich Aerospace's Aircraft Wheels &amp; Brakes Division and of its Turbomachinery Products Division, and Vice President and General Manager of Goodrich Aerospace, Aircraft Seating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149860</wp:posOffset>
            </wp:positionV>
            <wp:extent cx="265430" cy="2743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65430" cy="27432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149860</wp:posOffset>
            </wp:positionV>
            <wp:extent cx="283210" cy="2914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3210" cy="29146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149860</wp:posOffset>
            </wp:positionV>
            <wp:extent cx="274320" cy="2743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149860</wp:posOffset>
            </wp:positionV>
            <wp:extent cx="274320" cy="2743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149860</wp:posOffset>
            </wp:positionV>
            <wp:extent cx="282575" cy="2825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149860</wp:posOffset>
            </wp:positionV>
            <wp:extent cx="282575" cy="28257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149860</wp:posOffset>
            </wp:positionV>
            <wp:extent cx="265430" cy="2654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149860</wp:posOffset>
            </wp:positionV>
            <wp:extent cx="274320" cy="2743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743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PUBLIC COMPANY</w:t>
            </w:r>
          </w:p>
        </w:tc>
        <w:tc>
          <w:tcPr>
            <w:tcW w:w="2160" w:type="dxa"/>
            <w:vAlign w:val="bottom"/>
          </w:tcPr>
          <w:p>
            <w:pPr>
              <w:jc w:val="center"/>
              <w:ind w:right="88"/>
              <w:spacing w:after="0"/>
              <w:rPr>
                <w:sz w:val="20"/>
                <w:szCs w:val="20"/>
                <w:color w:val="auto"/>
              </w:rPr>
            </w:pPr>
            <w:r>
              <w:rPr>
                <w:rFonts w:ascii="Arial" w:cs="Arial" w:eastAsia="Arial" w:hAnsi="Arial"/>
                <w:sz w:val="14"/>
                <w:szCs w:val="14"/>
                <w:b w:val="1"/>
                <w:bCs w:val="1"/>
                <w:color w:val="auto"/>
              </w:rPr>
              <w:t>BUSINESS DEVELOPMENT</w:t>
            </w:r>
          </w:p>
        </w:tc>
        <w:tc>
          <w:tcPr>
            <w:tcW w:w="760" w:type="dxa"/>
            <w:vAlign w:val="bottom"/>
          </w:tcPr>
          <w:p>
            <w:pPr>
              <w:ind w:left="220"/>
              <w:spacing w:after="0"/>
              <w:rPr>
                <w:sz w:val="20"/>
                <w:szCs w:val="20"/>
                <w:color w:val="auto"/>
              </w:rPr>
            </w:pPr>
            <w:r>
              <w:rPr>
                <w:rFonts w:ascii="Arial" w:cs="Arial" w:eastAsia="Arial" w:hAnsi="Arial"/>
                <w:sz w:val="14"/>
                <w:szCs w:val="14"/>
                <w:b w:val="1"/>
                <w:bCs w:val="1"/>
                <w:color w:val="auto"/>
              </w:rPr>
              <w:t>CEO</w:t>
            </w: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CYBERSECURITY</w:t>
            </w:r>
          </w:p>
        </w:tc>
        <w:tc>
          <w:tcPr>
            <w:tcW w:w="1160" w:type="dxa"/>
            <w:vAlign w:val="bottom"/>
          </w:tcPr>
          <w:p>
            <w:pPr>
              <w:ind w:left="140"/>
              <w:spacing w:after="0"/>
              <w:rPr>
                <w:sz w:val="20"/>
                <w:szCs w:val="20"/>
                <w:color w:val="auto"/>
              </w:rPr>
            </w:pPr>
            <w:r>
              <w:rPr>
                <w:rFonts w:ascii="Arial" w:cs="Arial" w:eastAsia="Arial" w:hAnsi="Arial"/>
                <w:sz w:val="14"/>
                <w:szCs w:val="14"/>
                <w:b w:val="1"/>
                <w:bCs w:val="1"/>
                <w:color w:val="auto"/>
              </w:rPr>
              <w:t>FINANCIAL</w:t>
            </w: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GLOBAL</w:t>
            </w:r>
          </w:p>
        </w:tc>
        <w:tc>
          <w:tcPr>
            <w:tcW w:w="3040" w:type="dxa"/>
            <w:vAlign w:val="bottom"/>
          </w:tcPr>
          <w:p>
            <w:pPr>
              <w:jc w:val="right"/>
              <w:spacing w:after="0"/>
              <w:rPr>
                <w:sz w:val="20"/>
                <w:szCs w:val="20"/>
                <w:color w:val="auto"/>
              </w:rPr>
            </w:pPr>
            <w:r>
              <w:rPr>
                <w:rFonts w:ascii="Arial" w:cs="Arial" w:eastAsia="Arial" w:hAnsi="Arial"/>
                <w:sz w:val="14"/>
                <w:szCs w:val="14"/>
                <w:b w:val="1"/>
                <w:bCs w:val="1"/>
                <w:color w:val="auto"/>
              </w:rPr>
              <w:t>MANUFACTURING  RISK MANAGEMENT</w:t>
            </w:r>
          </w:p>
        </w:tc>
      </w:tr>
      <w:tr>
        <w:trPr>
          <w:trHeight w:val="196"/>
        </w:trPr>
        <w:tc>
          <w:tcPr>
            <w:tcW w:w="1400" w:type="dxa"/>
            <w:vAlign w:val="bottom"/>
          </w:tcPr>
          <w:p>
            <w:pPr>
              <w:jc w:val="center"/>
              <w:ind w:right="8"/>
              <w:spacing w:after="0"/>
              <w:rPr>
                <w:sz w:val="20"/>
                <w:szCs w:val="20"/>
                <w:color w:val="auto"/>
              </w:rPr>
            </w:pPr>
            <w:r>
              <w:rPr>
                <w:rFonts w:ascii="Arial" w:cs="Arial" w:eastAsia="Arial" w:hAnsi="Arial"/>
                <w:sz w:val="14"/>
                <w:szCs w:val="14"/>
                <w:b w:val="1"/>
                <w:bCs w:val="1"/>
                <w:color w:val="auto"/>
              </w:rPr>
              <w:t>BOARD</w:t>
            </w:r>
          </w:p>
        </w:tc>
        <w:tc>
          <w:tcPr>
            <w:tcW w:w="2160" w:type="dxa"/>
            <w:vAlign w:val="bottom"/>
          </w:tcPr>
          <w:p>
            <w:pPr>
              <w:jc w:val="center"/>
              <w:ind w:right="88"/>
              <w:spacing w:after="0"/>
              <w:rPr>
                <w:sz w:val="20"/>
                <w:szCs w:val="20"/>
                <w:color w:val="auto"/>
              </w:rPr>
            </w:pPr>
            <w:r>
              <w:rPr>
                <w:rFonts w:ascii="Arial" w:cs="Arial" w:eastAsia="Arial" w:hAnsi="Arial"/>
                <w:sz w:val="14"/>
                <w:szCs w:val="14"/>
                <w:b w:val="1"/>
                <w:bCs w:val="1"/>
                <w:color w:val="auto"/>
              </w:rPr>
              <w:t>AND STRATEGY</w:t>
            </w:r>
          </w:p>
        </w:tc>
        <w:tc>
          <w:tcPr>
            <w:tcW w:w="760" w:type="dxa"/>
            <w:vAlign w:val="bottom"/>
          </w:tcPr>
          <w:p>
            <w:pPr>
              <w:spacing w:after="0"/>
              <w:rPr>
                <w:sz w:val="17"/>
                <w:szCs w:val="17"/>
                <w:color w:val="auto"/>
              </w:rPr>
            </w:pPr>
          </w:p>
        </w:tc>
        <w:tc>
          <w:tcPr>
            <w:tcW w:w="1720" w:type="dxa"/>
            <w:vAlign w:val="bottom"/>
          </w:tcPr>
          <w:p>
            <w:pPr>
              <w:jc w:val="center"/>
              <w:ind w:left="8"/>
              <w:spacing w:after="0"/>
              <w:rPr>
                <w:sz w:val="20"/>
                <w:szCs w:val="20"/>
                <w:color w:val="auto"/>
              </w:rPr>
            </w:pPr>
            <w:r>
              <w:rPr>
                <w:rFonts w:ascii="Arial" w:cs="Arial" w:eastAsia="Arial" w:hAnsi="Arial"/>
                <w:sz w:val="14"/>
                <w:szCs w:val="14"/>
                <w:b w:val="1"/>
                <w:bCs w:val="1"/>
                <w:color w:val="auto"/>
              </w:rPr>
              <w:t>AND TECHNOLOGY</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373"/>
        </w:trPr>
        <w:tc>
          <w:tcPr>
            <w:tcW w:w="14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40" w:type="dxa"/>
            <w:vAlign w:val="bottom"/>
          </w:tcPr>
          <w:p>
            <w:pPr>
              <w:jc w:val="right"/>
              <w:spacing w:after="0"/>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21</w:t>
            </w:r>
          </w:p>
        </w:tc>
      </w:tr>
      <w:tr>
        <w:trPr>
          <w:trHeight w:val="257"/>
        </w:trPr>
        <w:tc>
          <w:tcPr>
            <w:tcW w:w="1400" w:type="dxa"/>
            <w:vAlign w:val="bottom"/>
            <w:tcBorders>
              <w:bottom w:val="single" w:sz="8" w:color="C0C0C0"/>
            </w:tcBorders>
          </w:tcPr>
          <w:p>
            <w:pPr>
              <w:spacing w:after="0"/>
              <w:rPr>
                <w:sz w:val="22"/>
                <w:szCs w:val="22"/>
                <w:color w:val="auto"/>
              </w:rPr>
            </w:pPr>
          </w:p>
        </w:tc>
        <w:tc>
          <w:tcPr>
            <w:tcW w:w="2160" w:type="dxa"/>
            <w:vAlign w:val="bottom"/>
            <w:tcBorders>
              <w:bottom w:val="single" w:sz="8" w:color="C0C0C0"/>
            </w:tcBorders>
          </w:tcPr>
          <w:p>
            <w:pPr>
              <w:spacing w:after="0"/>
              <w:rPr>
                <w:sz w:val="22"/>
                <w:szCs w:val="22"/>
                <w:color w:val="auto"/>
              </w:rPr>
            </w:pPr>
          </w:p>
        </w:tc>
        <w:tc>
          <w:tcPr>
            <w:tcW w:w="760" w:type="dxa"/>
            <w:vAlign w:val="bottom"/>
            <w:tcBorders>
              <w:bottom w:val="single" w:sz="8" w:color="C0C0C0"/>
            </w:tcBorders>
          </w:tcPr>
          <w:p>
            <w:pPr>
              <w:spacing w:after="0"/>
              <w:rPr>
                <w:sz w:val="22"/>
                <w:szCs w:val="22"/>
                <w:color w:val="auto"/>
              </w:rPr>
            </w:pPr>
          </w:p>
        </w:tc>
        <w:tc>
          <w:tcPr>
            <w:tcW w:w="1720" w:type="dxa"/>
            <w:vAlign w:val="bottom"/>
            <w:tcBorders>
              <w:bottom w:val="single" w:sz="8" w:color="C0C0C0"/>
            </w:tcBorders>
          </w:tcPr>
          <w:p>
            <w:pPr>
              <w:spacing w:after="0"/>
              <w:rPr>
                <w:sz w:val="22"/>
                <w:szCs w:val="22"/>
                <w:color w:val="auto"/>
              </w:rPr>
            </w:pPr>
          </w:p>
        </w:tc>
        <w:tc>
          <w:tcPr>
            <w:tcW w:w="1160" w:type="dxa"/>
            <w:vAlign w:val="bottom"/>
            <w:tcBorders>
              <w:bottom w:val="single" w:sz="8" w:color="C0C0C0"/>
            </w:tcBorders>
          </w:tcPr>
          <w:p>
            <w:pPr>
              <w:spacing w:after="0"/>
              <w:rPr>
                <w:sz w:val="22"/>
                <w:szCs w:val="22"/>
                <w:color w:val="auto"/>
              </w:rPr>
            </w:pPr>
          </w:p>
        </w:tc>
        <w:tc>
          <w:tcPr>
            <w:tcW w:w="1000" w:type="dxa"/>
            <w:vAlign w:val="bottom"/>
            <w:tcBorders>
              <w:bottom w:val="single" w:sz="8" w:color="C0C0C0"/>
            </w:tcBorders>
          </w:tcPr>
          <w:p>
            <w:pPr>
              <w:spacing w:after="0"/>
              <w:rPr>
                <w:sz w:val="22"/>
                <w:szCs w:val="22"/>
                <w:color w:val="auto"/>
              </w:rPr>
            </w:pPr>
          </w:p>
        </w:tc>
        <w:tc>
          <w:tcPr>
            <w:tcW w:w="304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238"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71525" cy="780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1525" cy="7804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118110</wp:posOffset>
            </wp:positionV>
            <wp:extent cx="1997075" cy="2743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997075" cy="274320"/>
                    </a:xfrm>
                    <a:prstGeom prst="rect">
                      <a:avLst/>
                    </a:prstGeom>
                    <a:noFill/>
                  </pic:spPr>
                </pic:pic>
              </a:graphicData>
            </a:graphic>
          </wp:anchor>
        </w:drawing>
      </w:r>
    </w:p>
    <w:p>
      <w:pPr>
        <w:spacing w:after="0" w:line="172" w:lineRule="exact"/>
        <w:rPr>
          <w:sz w:val="20"/>
          <w:szCs w:val="20"/>
          <w:color w:val="auto"/>
        </w:rPr>
      </w:pPr>
    </w:p>
    <w:p>
      <w:pPr>
        <w:jc w:val="right"/>
        <w:ind w:right="7400"/>
        <w:spacing w:after="0"/>
        <w:rPr>
          <w:sz w:val="20"/>
          <w:szCs w:val="20"/>
          <w:color w:val="auto"/>
        </w:rPr>
      </w:pPr>
      <w:r>
        <w:rPr>
          <w:rFonts w:ascii="Arial" w:cs="Arial" w:eastAsia="Arial" w:hAnsi="Arial"/>
          <w:sz w:val="29"/>
          <w:szCs w:val="29"/>
          <w:b w:val="1"/>
          <w:bCs w:val="1"/>
          <w:color w:val="auto"/>
        </w:rPr>
        <w:t>Garrick J. Rochow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118745</wp:posOffset>
            </wp:positionV>
            <wp:extent cx="6300470" cy="1551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300470" cy="155130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51</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Since: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2024</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COMMITTEES:</w:t>
            </w:r>
          </w:p>
        </w:tc>
        <w:tc>
          <w:tcPr>
            <w:tcW w:w="7720" w:type="dxa"/>
            <w:vAlign w:val="bottom"/>
          </w:tcPr>
          <w:p>
            <w:pPr>
              <w:ind w:left="660"/>
              <w:spacing w:after="0"/>
              <w:rPr>
                <w:sz w:val="20"/>
                <w:szCs w:val="20"/>
                <w:color w:val="auto"/>
              </w:rPr>
            </w:pPr>
            <w:r>
              <w:rPr>
                <w:rFonts w:ascii="Arial" w:cs="Arial" w:eastAsia="Arial" w:hAnsi="Arial"/>
                <w:sz w:val="16"/>
                <w:szCs w:val="16"/>
                <w:b w:val="1"/>
                <w:bCs w:val="1"/>
                <w:color w:val="auto"/>
              </w:rPr>
              <w:t>QUALIFICATIONS:</w:t>
            </w: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F8B9E"/>
              </w:rPr>
              <w:t>•</w:t>
            </w:r>
          </w:p>
        </w:tc>
        <w:tc>
          <w:tcPr>
            <w:tcW w:w="1960" w:type="dxa"/>
            <w:vAlign w:val="bottom"/>
          </w:tcPr>
          <w:p>
            <w:pPr>
              <w:ind w:left="60"/>
              <w:spacing w:after="0"/>
              <w:rPr>
                <w:sz w:val="20"/>
                <w:szCs w:val="20"/>
                <w:color w:val="auto"/>
              </w:rPr>
            </w:pPr>
            <w:r>
              <w:rPr>
                <w:rFonts w:ascii="Arial" w:cs="Arial" w:eastAsia="Arial" w:hAnsi="Arial"/>
                <w:sz w:val="16"/>
                <w:szCs w:val="16"/>
                <w:color w:val="auto"/>
              </w:rPr>
              <w:t>Audit</w:t>
            </w:r>
          </w:p>
        </w:tc>
        <w:tc>
          <w:tcPr>
            <w:tcW w:w="7720" w:type="dxa"/>
            <w:vAlign w:val="bottom"/>
          </w:tcPr>
          <w:p>
            <w:pPr>
              <w:spacing w:after="0"/>
              <w:rPr>
                <w:sz w:val="16"/>
                <w:szCs w:val="16"/>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6"/>
                <w:szCs w:val="16"/>
                <w:color w:val="2F8B9E"/>
              </w:rPr>
              <w:t>•</w:t>
            </w:r>
          </w:p>
        </w:tc>
        <w:tc>
          <w:tcPr>
            <w:tcW w:w="1960" w:type="dxa"/>
            <w:vAlign w:val="bottom"/>
          </w:tcPr>
          <w:p>
            <w:pPr>
              <w:ind w:left="60"/>
              <w:spacing w:after="0"/>
              <w:rPr>
                <w:sz w:val="20"/>
                <w:szCs w:val="20"/>
                <w:color w:val="auto"/>
              </w:rPr>
            </w:pPr>
            <w:r>
              <w:rPr>
                <w:rFonts w:ascii="Arial" w:cs="Arial" w:eastAsia="Arial" w:hAnsi="Arial"/>
                <w:sz w:val="16"/>
                <w:szCs w:val="16"/>
                <w:color w:val="auto"/>
              </w:rPr>
              <w:t>Finance</w:t>
            </w:r>
          </w:p>
        </w:tc>
        <w:tc>
          <w:tcPr>
            <w:tcW w:w="7720" w:type="dxa"/>
            <w:vAlign w:val="bottom"/>
          </w:tcPr>
          <w:p>
            <w:pPr>
              <w:ind w:left="660"/>
              <w:spacing w:after="0"/>
              <w:rPr>
                <w:sz w:val="20"/>
                <w:szCs w:val="20"/>
                <w:color w:val="auto"/>
              </w:rPr>
            </w:pPr>
            <w:r>
              <w:rPr>
                <w:rFonts w:ascii="Arial" w:cs="Arial" w:eastAsia="Arial" w:hAnsi="Arial"/>
                <w:sz w:val="16"/>
                <w:szCs w:val="16"/>
                <w:b w:val="1"/>
                <w:bCs w:val="1"/>
                <w:color w:val="auto"/>
              </w:rPr>
              <w:t>Mr. Rochow brings to the Board experience as a public company executive officer and</w:t>
            </w:r>
          </w:p>
        </w:tc>
      </w:tr>
      <w:tr>
        <w:trPr>
          <w:trHeight w:val="189"/>
        </w:trPr>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7720" w:type="dxa"/>
            <w:vAlign w:val="bottom"/>
          </w:tcPr>
          <w:p>
            <w:pPr>
              <w:ind w:left="660"/>
              <w:spacing w:after="0"/>
              <w:rPr>
                <w:sz w:val="20"/>
                <w:szCs w:val="20"/>
                <w:color w:val="auto"/>
              </w:rPr>
            </w:pPr>
            <w:r>
              <w:rPr>
                <w:rFonts w:ascii="Arial" w:cs="Arial" w:eastAsia="Arial" w:hAnsi="Arial"/>
                <w:sz w:val="16"/>
                <w:szCs w:val="16"/>
                <w:b w:val="1"/>
                <w:bCs w:val="1"/>
                <w:color w:val="auto"/>
              </w:rPr>
              <w:t>Director in the utility industry and possesses a strong background in operations, regulated</w:t>
            </w:r>
          </w:p>
        </w:tc>
      </w:tr>
      <w:tr>
        <w:trPr>
          <w:trHeight w:val="205"/>
        </w:trPr>
        <w:tc>
          <w:tcPr>
            <w:tcW w:w="2060" w:type="dxa"/>
            <w:vAlign w:val="bottom"/>
            <w:gridSpan w:val="2"/>
          </w:tcPr>
          <w:p>
            <w:pPr>
              <w:spacing w:after="0"/>
              <w:rPr>
                <w:sz w:val="20"/>
                <w:szCs w:val="20"/>
                <w:color w:val="auto"/>
              </w:rPr>
            </w:pPr>
            <w:r>
              <w:rPr>
                <w:rFonts w:ascii="Arial" w:cs="Arial" w:eastAsia="Arial" w:hAnsi="Arial"/>
                <w:sz w:val="16"/>
                <w:szCs w:val="16"/>
                <w:b w:val="1"/>
                <w:bCs w:val="1"/>
                <w:color w:val="auto"/>
              </w:rPr>
              <w:t>DIRECTORSHIPS:</w:t>
            </w:r>
          </w:p>
        </w:tc>
        <w:tc>
          <w:tcPr>
            <w:tcW w:w="7720" w:type="dxa"/>
            <w:vAlign w:val="bottom"/>
          </w:tcPr>
          <w:p>
            <w:pPr>
              <w:ind w:left="660"/>
              <w:spacing w:after="0"/>
              <w:rPr>
                <w:sz w:val="20"/>
                <w:szCs w:val="20"/>
                <w:color w:val="auto"/>
              </w:rPr>
            </w:pPr>
            <w:r>
              <w:rPr>
                <w:rFonts w:ascii="Arial" w:cs="Arial" w:eastAsia="Arial" w:hAnsi="Arial"/>
                <w:sz w:val="16"/>
                <w:szCs w:val="16"/>
                <w:b w:val="1"/>
                <w:bCs w:val="1"/>
                <w:color w:val="auto"/>
              </w:rPr>
              <w:t>utilities, and governance, including:</w:t>
            </w:r>
          </w:p>
        </w:tc>
      </w:tr>
    </w:tbl>
    <w:p>
      <w:pPr>
        <w:ind w:left="160" w:hanging="153"/>
        <w:spacing w:after="0"/>
        <w:tabs>
          <w:tab w:leader="none" w:pos="160" w:val="left"/>
        </w:tabs>
        <w:numPr>
          <w:ilvl w:val="0"/>
          <w:numId w:val="26"/>
        </w:numPr>
        <w:rPr>
          <w:rFonts w:ascii="Arial" w:cs="Arial" w:eastAsia="Arial" w:hAnsi="Arial"/>
          <w:sz w:val="16"/>
          <w:szCs w:val="16"/>
          <w:color w:val="2F8B9E"/>
        </w:rPr>
      </w:pPr>
      <w:r>
        <w:rPr>
          <w:rFonts w:ascii="Arial" w:cs="Arial" w:eastAsia="Arial" w:hAnsi="Arial"/>
          <w:sz w:val="16"/>
          <w:szCs w:val="16"/>
          <w:color w:val="auto"/>
        </w:rPr>
        <w:t>CMS Energy Corporation, since</w:t>
      </w:r>
    </w:p>
    <w:tbl>
      <w:tblPr>
        <w:tblLayout w:type="fixed"/>
        <w:tblInd w:w="0" w:type="dxa"/>
        <w:tblCellMar>
          <w:top w:w="0" w:type="dxa"/>
          <w:left w:w="0" w:type="dxa"/>
          <w:bottom w:w="0" w:type="dxa"/>
          <w:right w:w="0" w:type="dxa"/>
        </w:tblCellMar>
      </w:tblPr>
      <w:tr>
        <w:trPr>
          <w:trHeight w:val="178"/>
        </w:trPr>
        <w:tc>
          <w:tcPr>
            <w:tcW w:w="2520" w:type="dxa"/>
            <w:vAlign w:val="bottom"/>
          </w:tcPr>
          <w:p>
            <w:pPr>
              <w:ind w:left="160"/>
              <w:spacing w:after="0" w:line="178" w:lineRule="exact"/>
              <w:rPr>
                <w:sz w:val="20"/>
                <w:szCs w:val="20"/>
                <w:color w:val="auto"/>
              </w:rPr>
            </w:pPr>
            <w:r>
              <w:rPr>
                <w:rFonts w:ascii="Arial" w:cs="Arial" w:eastAsia="Arial" w:hAnsi="Arial"/>
                <w:sz w:val="16"/>
                <w:szCs w:val="16"/>
                <w:color w:val="auto"/>
              </w:rPr>
              <w:t>2020</w:t>
            </w:r>
          </w:p>
        </w:tc>
        <w:tc>
          <w:tcPr>
            <w:tcW w:w="320" w:type="dxa"/>
            <w:vAlign w:val="bottom"/>
          </w:tcPr>
          <w:p>
            <w:pPr>
              <w:ind w:left="200"/>
              <w:spacing w:after="0" w:line="178" w:lineRule="exact"/>
              <w:rPr>
                <w:sz w:val="20"/>
                <w:szCs w:val="20"/>
                <w:color w:val="auto"/>
              </w:rPr>
            </w:pPr>
            <w:r>
              <w:rPr>
                <w:rFonts w:ascii="Arial" w:cs="Arial" w:eastAsia="Arial" w:hAnsi="Arial"/>
                <w:sz w:val="16"/>
                <w:szCs w:val="16"/>
                <w:color w:val="2F8B9E"/>
              </w:rPr>
              <w:t>•</w:t>
            </w:r>
          </w:p>
        </w:tc>
        <w:tc>
          <w:tcPr>
            <w:tcW w:w="6940" w:type="dxa"/>
            <w:vAlign w:val="bottom"/>
          </w:tcPr>
          <w:p>
            <w:pPr>
              <w:ind w:left="40"/>
              <w:spacing w:after="0" w:line="178" w:lineRule="exact"/>
              <w:rPr>
                <w:sz w:val="20"/>
                <w:szCs w:val="20"/>
                <w:color w:val="auto"/>
              </w:rPr>
            </w:pPr>
            <w:r>
              <w:rPr>
                <w:rFonts w:ascii="Arial" w:cs="Arial" w:eastAsia="Arial" w:hAnsi="Arial"/>
                <w:sz w:val="16"/>
                <w:szCs w:val="16"/>
                <w:color w:val="auto"/>
              </w:rPr>
              <w:t>Serving as the President and CEO of CMS Energy Corporation (“CMS”) and Consumers Energy</w:t>
            </w:r>
          </w:p>
        </w:tc>
      </w:tr>
      <w:tr>
        <w:trPr>
          <w:trHeight w:val="189"/>
        </w:trPr>
        <w:tc>
          <w:tcPr>
            <w:tcW w:w="2520" w:type="dxa"/>
            <w:vAlign w:val="bottom"/>
          </w:tcPr>
          <w:p>
            <w:pPr>
              <w:spacing w:after="0"/>
              <w:rPr>
                <w:sz w:val="20"/>
                <w:szCs w:val="20"/>
                <w:color w:val="auto"/>
              </w:rPr>
            </w:pPr>
            <w:r>
              <w:rPr>
                <w:rFonts w:ascii="Arial" w:cs="Arial" w:eastAsia="Arial" w:hAnsi="Arial"/>
                <w:sz w:val="16"/>
                <w:szCs w:val="16"/>
                <w:color w:val="2F8B9E"/>
              </w:rPr>
              <w:t xml:space="preserve">• </w:t>
            </w:r>
            <w:r>
              <w:rPr>
                <w:rFonts w:ascii="Arial" w:cs="Arial" w:eastAsia="Arial" w:hAnsi="Arial"/>
                <w:sz w:val="16"/>
                <w:szCs w:val="16"/>
                <w:color w:val="000000"/>
              </w:rPr>
              <w:t>Consumers Energy Company,</w:t>
            </w:r>
          </w:p>
        </w:tc>
        <w:tc>
          <w:tcPr>
            <w:tcW w:w="320" w:type="dxa"/>
            <w:vAlign w:val="bottom"/>
          </w:tcPr>
          <w:p>
            <w:pPr>
              <w:spacing w:after="0"/>
              <w:rPr>
                <w:sz w:val="16"/>
                <w:szCs w:val="16"/>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Company  (“Consumers”)  and  previously  as  Executive  Vice  President  of  operations  at</w:t>
            </w:r>
          </w:p>
        </w:tc>
      </w:tr>
      <w:tr>
        <w:trPr>
          <w:trHeight w:val="176"/>
        </w:trPr>
        <w:tc>
          <w:tcPr>
            <w:tcW w:w="2520" w:type="dxa"/>
            <w:vAlign w:val="bottom"/>
          </w:tcPr>
          <w:p>
            <w:pPr>
              <w:ind w:left="160"/>
              <w:spacing w:after="0" w:line="175" w:lineRule="exact"/>
              <w:rPr>
                <w:sz w:val="20"/>
                <w:szCs w:val="20"/>
                <w:color w:val="auto"/>
              </w:rPr>
            </w:pPr>
            <w:r>
              <w:rPr>
                <w:rFonts w:ascii="Arial" w:cs="Arial" w:eastAsia="Arial" w:hAnsi="Arial"/>
                <w:sz w:val="16"/>
                <w:szCs w:val="16"/>
                <w:color w:val="auto"/>
              </w:rPr>
              <w:t>since 2020</w:t>
            </w:r>
          </w:p>
        </w:tc>
        <w:tc>
          <w:tcPr>
            <w:tcW w:w="320" w:type="dxa"/>
            <w:vAlign w:val="bottom"/>
          </w:tcPr>
          <w:p>
            <w:pPr>
              <w:spacing w:after="0"/>
              <w:rPr>
                <w:sz w:val="15"/>
                <w:szCs w:val="15"/>
                <w:color w:val="auto"/>
              </w:rPr>
            </w:pPr>
          </w:p>
        </w:tc>
        <w:tc>
          <w:tcPr>
            <w:tcW w:w="6940" w:type="dxa"/>
            <w:vAlign w:val="bottom"/>
          </w:tcPr>
          <w:p>
            <w:pPr>
              <w:ind w:left="40"/>
              <w:spacing w:after="0" w:line="175" w:lineRule="exact"/>
              <w:rPr>
                <w:sz w:val="20"/>
                <w:szCs w:val="20"/>
                <w:color w:val="auto"/>
              </w:rPr>
            </w:pPr>
            <w:r>
              <w:rPr>
                <w:rFonts w:ascii="Arial" w:cs="Arial" w:eastAsia="Arial" w:hAnsi="Arial"/>
                <w:sz w:val="16"/>
                <w:szCs w:val="16"/>
                <w:color w:val="auto"/>
              </w:rPr>
              <w:t>Consumers.</w:t>
            </w:r>
          </w:p>
        </w:tc>
      </w:tr>
      <w:tr>
        <w:trPr>
          <w:trHeight w:val="176"/>
        </w:trPr>
        <w:tc>
          <w:tcPr>
            <w:tcW w:w="2520" w:type="dxa"/>
            <w:vAlign w:val="bottom"/>
          </w:tcPr>
          <w:p>
            <w:pPr>
              <w:spacing w:after="0"/>
              <w:rPr>
                <w:sz w:val="15"/>
                <w:szCs w:val="15"/>
                <w:color w:val="auto"/>
              </w:rPr>
            </w:pPr>
          </w:p>
        </w:tc>
        <w:tc>
          <w:tcPr>
            <w:tcW w:w="320" w:type="dxa"/>
            <w:vAlign w:val="bottom"/>
          </w:tcPr>
          <w:p>
            <w:pPr>
              <w:ind w:left="200"/>
              <w:spacing w:after="0" w:line="176" w:lineRule="exact"/>
              <w:rPr>
                <w:sz w:val="20"/>
                <w:szCs w:val="20"/>
                <w:color w:val="auto"/>
              </w:rPr>
            </w:pPr>
            <w:r>
              <w:rPr>
                <w:rFonts w:ascii="Arial" w:cs="Arial" w:eastAsia="Arial" w:hAnsi="Arial"/>
                <w:sz w:val="16"/>
                <w:szCs w:val="16"/>
                <w:color w:val="2F8B9E"/>
              </w:rPr>
              <w:t>•</w:t>
            </w:r>
          </w:p>
        </w:tc>
        <w:tc>
          <w:tcPr>
            <w:tcW w:w="6940" w:type="dxa"/>
            <w:vAlign w:val="bottom"/>
          </w:tcPr>
          <w:p>
            <w:pPr>
              <w:ind w:left="40"/>
              <w:spacing w:after="0" w:line="176" w:lineRule="exact"/>
              <w:rPr>
                <w:sz w:val="20"/>
                <w:szCs w:val="20"/>
                <w:color w:val="auto"/>
              </w:rPr>
            </w:pPr>
            <w:r>
              <w:rPr>
                <w:rFonts w:ascii="Arial" w:cs="Arial" w:eastAsia="Arial" w:hAnsi="Arial"/>
                <w:sz w:val="16"/>
                <w:szCs w:val="16"/>
                <w:color w:val="auto"/>
              </w:rPr>
              <w:t>Serving on the boards of CMS and Consumers.</w:t>
            </w:r>
          </w:p>
        </w:tc>
      </w:tr>
      <w:tr>
        <w:trPr>
          <w:trHeight w:val="188"/>
        </w:trPr>
        <w:tc>
          <w:tcPr>
            <w:tcW w:w="2520" w:type="dxa"/>
            <w:vAlign w:val="bottom"/>
          </w:tcPr>
          <w:p>
            <w:pPr>
              <w:spacing w:after="0"/>
              <w:rPr>
                <w:sz w:val="16"/>
                <w:szCs w:val="16"/>
                <w:color w:val="auto"/>
              </w:rPr>
            </w:pPr>
          </w:p>
        </w:tc>
        <w:tc>
          <w:tcPr>
            <w:tcW w:w="320" w:type="dxa"/>
            <w:vAlign w:val="bottom"/>
          </w:tcPr>
          <w:p>
            <w:pPr>
              <w:ind w:left="200"/>
              <w:spacing w:after="0"/>
              <w:rPr>
                <w:sz w:val="20"/>
                <w:szCs w:val="20"/>
                <w:color w:val="auto"/>
              </w:rPr>
            </w:pPr>
            <w:r>
              <w:rPr>
                <w:rFonts w:ascii="Arial" w:cs="Arial" w:eastAsia="Arial" w:hAnsi="Arial"/>
                <w:sz w:val="16"/>
                <w:szCs w:val="16"/>
                <w:color w:val="2F8B9E"/>
              </w:rPr>
              <w:t>•</w:t>
            </w:r>
          </w:p>
        </w:tc>
        <w:tc>
          <w:tcPr>
            <w:tcW w:w="6940" w:type="dxa"/>
            <w:vAlign w:val="bottom"/>
          </w:tcPr>
          <w:p>
            <w:pPr>
              <w:ind w:left="40"/>
              <w:spacing w:after="0"/>
              <w:rPr>
                <w:sz w:val="20"/>
                <w:szCs w:val="20"/>
                <w:color w:val="auto"/>
              </w:rPr>
            </w:pPr>
            <w:r>
              <w:rPr>
                <w:rFonts w:ascii="Arial" w:cs="Arial" w:eastAsia="Arial" w:hAnsi="Arial"/>
                <w:sz w:val="16"/>
                <w:szCs w:val="16"/>
                <w:color w:val="auto"/>
              </w:rPr>
              <w:t>Over twenty-five years of both hands-on and leadership experience in the utility industry, an</w:t>
            </w:r>
          </w:p>
        </w:tc>
      </w:tr>
      <w:tr>
        <w:trPr>
          <w:trHeight w:val="215"/>
        </w:trPr>
        <w:tc>
          <w:tcPr>
            <w:tcW w:w="2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40" w:type="dxa"/>
            <w:vAlign w:val="bottom"/>
          </w:tcPr>
          <w:p>
            <w:pPr>
              <w:ind w:left="40"/>
              <w:spacing w:after="0"/>
              <w:rPr>
                <w:sz w:val="20"/>
                <w:szCs w:val="20"/>
                <w:color w:val="auto"/>
              </w:rPr>
            </w:pPr>
            <w:r>
              <w:rPr>
                <w:rFonts w:ascii="Arial" w:cs="Arial" w:eastAsia="Arial" w:hAnsi="Arial"/>
                <w:sz w:val="16"/>
                <w:szCs w:val="16"/>
                <w:color w:val="auto"/>
              </w:rPr>
              <w:t>industry that represents a significant part of the Company’s overall business.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44450</wp:posOffset>
            </wp:positionV>
            <wp:extent cx="6300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300470" cy="8255"/>
                    </a:xfrm>
                    <a:prstGeom prst="rect">
                      <a:avLst/>
                    </a:prstGeom>
                    <a:noFill/>
                  </pic:spPr>
                </pic:pic>
              </a:graphicData>
            </a:graphic>
          </wp:anchor>
        </w:drawing>
      </w:r>
    </w:p>
    <w:p>
      <w:pPr>
        <w:spacing w:after="0" w:line="123" w:lineRule="exact"/>
        <w:rPr>
          <w:sz w:val="20"/>
          <w:szCs w:val="20"/>
          <w:color w:val="auto"/>
        </w:rPr>
      </w:pPr>
    </w:p>
    <w:p>
      <w:pPr>
        <w:sectPr>
          <w:pgSz w:w="11900" w:h="16838" w:orient="portrait"/>
          <w:cols w:equalWidth="0" w:num="2">
            <w:col w:w="1160" w:space="240"/>
            <w:col w:w="9840"/>
          </w:cols>
          <w:pgMar w:left="320" w:top="238" w:right="339" w:bottom="1440" w:gutter="0" w:footer="0" w:header="0"/>
          <w:type w:val="continuous"/>
        </w:sectPr>
      </w:pPr>
    </w:p>
    <w:p>
      <w:pPr>
        <w:jc w:val="both"/>
        <w:ind w:left="1320"/>
        <w:spacing w:after="0" w:line="254" w:lineRule="auto"/>
        <w:rPr>
          <w:sz w:val="20"/>
          <w:szCs w:val="20"/>
          <w:color w:val="auto"/>
        </w:rPr>
      </w:pPr>
      <w:r>
        <w:rPr>
          <w:rFonts w:ascii="Arial" w:cs="Arial" w:eastAsia="Arial" w:hAnsi="Arial"/>
          <w:sz w:val="16"/>
          <w:szCs w:val="16"/>
          <w:color w:val="auto"/>
        </w:rPr>
        <w:t>Garrick J. Rochow has served since December 2020 as President and CEO of CMS and Consumers (a publicly traded electric and natural gas utility and its subsidiary). From July 2017 through November 2020, he was Executive Vice President of operations at Consumers, responsible for the company’s electric and natural gas distribution and transmission operations, generation and compression operations, regulatory compliance, planning and scheduling and operations performance. Prior to that role, he served in a variety of leadership positions across the business as Consumers’ Senior Vice President of distribution and customer operations and as Vice President of customer experience, rates and regulation and quality and Chief Customer Officer.</w:t>
      </w:r>
    </w:p>
    <w:p>
      <w:pPr>
        <w:spacing w:after="0" w:line="214" w:lineRule="exact"/>
        <w:rPr>
          <w:sz w:val="20"/>
          <w:szCs w:val="20"/>
          <w:color w:val="auto"/>
        </w:rPr>
      </w:pPr>
    </w:p>
    <w:p>
      <w:pPr>
        <w:spacing w:after="0"/>
        <w:rPr>
          <w:sz w:val="20"/>
          <w:szCs w:val="20"/>
          <w:color w:val="auto"/>
        </w:rPr>
      </w:pPr>
      <w:r>
        <w:rPr>
          <w:rFonts w:ascii="Arial" w:cs="Arial" w:eastAsia="Arial" w:hAnsi="Arial"/>
          <w:sz w:val="25"/>
          <w:szCs w:val="25"/>
          <w:color w:val="auto"/>
        </w:rPr>
        <w:t>Required Vote</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With respect to Proposal 1, because the election of Directors is uncontested, Directors shall be elected by the vote of the majority of votes cast, which means that the number of shares voted “FOR” a Director nominee must exceed the number of votes cast “AGAINST” that Director. Abstentions and broker non-votes will not affect the election of Directors. Broker discretionary voting is not allowed; if your shares are held by a broker, you must instruct the broker how to vote or your shares will not be counted with respect to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43688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387"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The Board unanimously recommends a vote for the election of each of the Director nominees for a one</w:t>
      </w:r>
      <w:r>
        <w:rPr>
          <w:rFonts w:ascii="Arial" w:cs="Arial" w:eastAsia="Arial" w:hAnsi="Arial"/>
          <w:sz w:val="16"/>
          <w:szCs w:val="16"/>
          <w:color w:val="auto"/>
        </w:rPr>
        <w:t>-</w:t>
      </w:r>
      <w:r>
        <w:rPr>
          <w:rFonts w:ascii="Arial" w:cs="Arial" w:eastAsia="Arial" w:hAnsi="Arial"/>
          <w:sz w:val="16"/>
          <w:szCs w:val="16"/>
          <w:b w:val="1"/>
          <w:bCs w:val="1"/>
          <w:color w:val="auto"/>
        </w:rPr>
        <w:t>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286385</wp:posOffset>
            </wp:positionV>
            <wp:extent cx="265430" cy="2654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1384935</wp:posOffset>
            </wp:positionH>
            <wp:positionV relativeFrom="paragraph">
              <wp:posOffset>286385</wp:posOffset>
            </wp:positionV>
            <wp:extent cx="283210" cy="28257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83210" cy="282575"/>
                    </a:xfrm>
                    <a:prstGeom prst="rect">
                      <a:avLst/>
                    </a:prstGeom>
                    <a:noFill/>
                  </pic:spPr>
                </pic:pic>
              </a:graphicData>
            </a:graphic>
          </wp:anchor>
        </w:drawing>
        <w:drawing>
          <wp:anchor simplePos="0" relativeHeight="251657728" behindDoc="1" locked="0" layoutInCell="0" allowOverlap="1">
            <wp:simplePos x="0" y="0"/>
            <wp:positionH relativeFrom="column">
              <wp:posOffset>2362200</wp:posOffset>
            </wp:positionH>
            <wp:positionV relativeFrom="paragraph">
              <wp:posOffset>286385</wp:posOffset>
            </wp:positionV>
            <wp:extent cx="274320" cy="2743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286385</wp:posOffset>
            </wp:positionV>
            <wp:extent cx="274320" cy="2743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74320" cy="27432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286385</wp:posOffset>
            </wp:positionV>
            <wp:extent cx="282575" cy="2825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286385</wp:posOffset>
            </wp:positionV>
            <wp:extent cx="282575" cy="28257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2575" cy="28257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286385</wp:posOffset>
            </wp:positionV>
            <wp:extent cx="265430" cy="2654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65430" cy="265430"/>
                    </a:xfrm>
                    <a:prstGeom prst="rect">
                      <a:avLst/>
                    </a:prstGeom>
                    <a:noFill/>
                  </pic:spPr>
                </pic:pic>
              </a:graphicData>
            </a:graphic>
          </wp:anchor>
        </w:drawing>
        <w:drawing>
          <wp:anchor simplePos="0" relativeHeight="251657728" behindDoc="1" locked="0" layoutInCell="0" allowOverlap="1">
            <wp:simplePos x="0" y="0"/>
            <wp:positionH relativeFrom="column">
              <wp:posOffset>6545580</wp:posOffset>
            </wp:positionH>
            <wp:positionV relativeFrom="paragraph">
              <wp:posOffset>286385</wp:posOffset>
            </wp:positionV>
            <wp:extent cx="274320" cy="2654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7432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tabs>
          <w:tab w:leader="none" w:pos="1440" w:val="left"/>
          <w:tab w:leader="none" w:pos="3760" w:val="left"/>
          <w:tab w:leader="none" w:pos="4580" w:val="left"/>
          <w:tab w:leader="none" w:pos="6160" w:val="left"/>
          <w:tab w:leader="none" w:pos="7400" w:val="left"/>
          <w:tab w:leader="none" w:pos="8360" w:val="left"/>
          <w:tab w:leader="none" w:pos="9780" w:val="left"/>
        </w:tabs>
        <w:rPr>
          <w:sz w:val="20"/>
          <w:szCs w:val="20"/>
          <w:color w:val="auto"/>
        </w:rPr>
      </w:pPr>
      <w:r>
        <w:rPr>
          <w:rFonts w:ascii="Arial" w:cs="Arial" w:eastAsia="Arial" w:hAnsi="Arial"/>
          <w:sz w:val="14"/>
          <w:szCs w:val="14"/>
          <w:b w:val="1"/>
          <w:bCs w:val="1"/>
          <w:color w:val="auto"/>
        </w:rPr>
        <w:t>PUBLIC COMPANY</w:t>
        <w:tab/>
        <w:t>BUSINESS DEVELOPMENT</w:t>
      </w:r>
      <w:r>
        <w:rPr>
          <w:sz w:val="20"/>
          <w:szCs w:val="20"/>
          <w:color w:val="auto"/>
        </w:rPr>
        <w:tab/>
      </w:r>
      <w:r>
        <w:rPr>
          <w:rFonts w:ascii="Arial" w:cs="Arial" w:eastAsia="Arial" w:hAnsi="Arial"/>
          <w:sz w:val="14"/>
          <w:szCs w:val="14"/>
          <w:b w:val="1"/>
          <w:bCs w:val="1"/>
          <w:color w:val="auto"/>
        </w:rPr>
        <w:t>CEO</w:t>
      </w:r>
      <w:r>
        <w:rPr>
          <w:sz w:val="20"/>
          <w:szCs w:val="20"/>
          <w:color w:val="auto"/>
        </w:rPr>
        <w:tab/>
      </w:r>
      <w:r>
        <w:rPr>
          <w:rFonts w:ascii="Arial" w:cs="Arial" w:eastAsia="Arial" w:hAnsi="Arial"/>
          <w:sz w:val="14"/>
          <w:szCs w:val="14"/>
          <w:b w:val="1"/>
          <w:bCs w:val="1"/>
          <w:color w:val="auto"/>
        </w:rPr>
        <w:t>CYBERSECURITY</w:t>
      </w:r>
      <w:r>
        <w:rPr>
          <w:sz w:val="20"/>
          <w:szCs w:val="20"/>
          <w:color w:val="auto"/>
        </w:rPr>
        <w:tab/>
      </w:r>
      <w:r>
        <w:rPr>
          <w:rFonts w:ascii="Arial" w:cs="Arial" w:eastAsia="Arial" w:hAnsi="Arial"/>
          <w:sz w:val="14"/>
          <w:szCs w:val="14"/>
          <w:b w:val="1"/>
          <w:bCs w:val="1"/>
          <w:color w:val="auto"/>
        </w:rPr>
        <w:t>FINANCIAL</w:t>
      </w:r>
      <w:r>
        <w:rPr>
          <w:sz w:val="20"/>
          <w:szCs w:val="20"/>
          <w:color w:val="auto"/>
        </w:rPr>
        <w:tab/>
      </w:r>
      <w:r>
        <w:rPr>
          <w:rFonts w:ascii="Arial" w:cs="Arial" w:eastAsia="Arial" w:hAnsi="Arial"/>
          <w:sz w:val="14"/>
          <w:szCs w:val="14"/>
          <w:b w:val="1"/>
          <w:bCs w:val="1"/>
          <w:color w:val="auto"/>
        </w:rPr>
        <w:t>GLOBAL</w:t>
      </w:r>
      <w:r>
        <w:rPr>
          <w:sz w:val="20"/>
          <w:szCs w:val="20"/>
          <w:color w:val="auto"/>
        </w:rPr>
        <w:tab/>
      </w:r>
      <w:r>
        <w:rPr>
          <w:rFonts w:ascii="Arial" w:cs="Arial" w:eastAsia="Arial" w:hAnsi="Arial"/>
          <w:sz w:val="14"/>
          <w:szCs w:val="14"/>
          <w:b w:val="1"/>
          <w:bCs w:val="1"/>
          <w:color w:val="auto"/>
        </w:rPr>
        <w:t>MANUFACTURING</w:t>
        <w:tab/>
        <w:t>RISK MANAGEMENT</w:t>
      </w:r>
    </w:p>
    <w:p>
      <w:pPr>
        <w:spacing w:after="0" w:line="15" w:lineRule="exact"/>
        <w:rPr>
          <w:sz w:val="20"/>
          <w:szCs w:val="20"/>
          <w:color w:val="auto"/>
        </w:rPr>
      </w:pPr>
    </w:p>
    <w:p>
      <w:pPr>
        <w:ind w:left="400"/>
        <w:spacing w:after="0"/>
        <w:tabs>
          <w:tab w:leader="none" w:pos="1820" w:val="left"/>
          <w:tab w:leader="none" w:pos="4520" w:val="left"/>
        </w:tabs>
        <w:rPr>
          <w:sz w:val="20"/>
          <w:szCs w:val="20"/>
          <w:color w:val="auto"/>
        </w:rPr>
      </w:pPr>
      <w:r>
        <w:rPr>
          <w:rFonts w:ascii="Arial" w:cs="Arial" w:eastAsia="Arial" w:hAnsi="Arial"/>
          <w:sz w:val="14"/>
          <w:szCs w:val="14"/>
          <w:b w:val="1"/>
          <w:bCs w:val="1"/>
          <w:color w:val="auto"/>
        </w:rPr>
        <w:t>BOARD</w:t>
      </w:r>
      <w:r>
        <w:rPr>
          <w:sz w:val="20"/>
          <w:szCs w:val="20"/>
          <w:color w:val="auto"/>
        </w:rPr>
        <w:tab/>
      </w:r>
      <w:r>
        <w:rPr>
          <w:rFonts w:ascii="Arial" w:cs="Arial" w:eastAsia="Arial" w:hAnsi="Arial"/>
          <w:sz w:val="14"/>
          <w:szCs w:val="14"/>
          <w:b w:val="1"/>
          <w:bCs w:val="1"/>
          <w:color w:val="auto"/>
        </w:rPr>
        <w:t>AND STRATEGY</w:t>
      </w:r>
      <w:r>
        <w:rPr>
          <w:sz w:val="20"/>
          <w:szCs w:val="20"/>
          <w:color w:val="auto"/>
        </w:rPr>
        <w:tab/>
      </w:r>
      <w:r>
        <w:rPr>
          <w:rFonts w:ascii="Arial" w:cs="Arial" w:eastAsia="Arial" w:hAnsi="Arial"/>
          <w:sz w:val="14"/>
          <w:szCs w:val="14"/>
          <w:b w:val="1"/>
          <w:bCs w:val="1"/>
          <w:color w:val="auto"/>
        </w:rPr>
        <w:t>AND TECHNOLOGY</w:t>
      </w:r>
    </w:p>
    <w:p>
      <w:pPr>
        <w:spacing w:after="0" w:line="1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22</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58"/>
          <w:szCs w:val="58"/>
          <w:color w:val="auto"/>
        </w:rPr>
        <w:t xml:space="preserve">Corporate </w:t>
      </w:r>
      <w:r>
        <w:rPr>
          <w:rFonts w:ascii="Arial" w:cs="Arial" w:eastAsia="Arial" w:hAnsi="Arial"/>
          <w:sz w:val="58"/>
          <w:szCs w:val="58"/>
          <w:b w:val="1"/>
          <w:bCs w:val="1"/>
          <w:color w:val="auto"/>
        </w:rPr>
        <w:t>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43180" cy="42037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5226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80" w:right="180"/>
        <w:spacing w:after="0" w:line="281" w:lineRule="auto"/>
        <w:rPr>
          <w:sz w:val="20"/>
          <w:szCs w:val="20"/>
          <w:color w:val="auto"/>
        </w:rPr>
      </w:pPr>
      <w:r>
        <w:rPr>
          <w:rFonts w:ascii="Arial" w:cs="Arial" w:eastAsia="Arial" w:hAnsi="Arial"/>
          <w:sz w:val="18"/>
          <w:szCs w:val="18"/>
          <w:b w:val="1"/>
          <w:bCs w:val="1"/>
          <w:color w:val="auto"/>
        </w:rPr>
        <w:t>Hubbell’s Corporate Governance Guidelines (the “Guidelines”) ensure the Company follows strong corporate governance practices and principles.</w:t>
      </w:r>
    </w:p>
    <w:p>
      <w:pPr>
        <w:spacing w:after="0" w:line="222"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Guidelines assist the Board in the exercise of its responsibilities and promote the interests of Hubbell and its shareholders. The Guidelines reflect the Board’s commitment to good governance by establishing policies and procedures in areas the Board believes are critical to the enhancement of shareholder value.</w:t>
      </w:r>
    </w:p>
    <w:p>
      <w:pPr>
        <w:spacing w:after="0" w:line="12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Governance Snapshot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41059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410591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Shareholders have identical </w:t>
      </w:r>
      <w:r>
        <w:rPr>
          <w:rFonts w:ascii="Arial" w:cs="Arial" w:eastAsia="Arial" w:hAnsi="Arial"/>
          <w:sz w:val="16"/>
          <w:szCs w:val="16"/>
          <w:b w:val="1"/>
          <w:bCs w:val="1"/>
          <w:color w:val="auto"/>
        </w:rPr>
        <w:t>economic and voting rights</w:t>
      </w:r>
      <w:r>
        <w:rPr>
          <w:rFonts w:ascii="Arial" w:cs="Arial" w:eastAsia="Arial" w:hAnsi="Arial"/>
          <w:sz w:val="16"/>
          <w:szCs w:val="16"/>
          <w:color w:val="auto"/>
        </w:rPr>
        <w:t xml:space="preserve"> - each share of common stock is entitled to one vote.</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Directors are </w:t>
      </w:r>
      <w:r>
        <w:rPr>
          <w:rFonts w:ascii="Arial" w:cs="Arial" w:eastAsia="Arial" w:hAnsi="Arial"/>
          <w:sz w:val="16"/>
          <w:szCs w:val="16"/>
          <w:b w:val="1"/>
          <w:bCs w:val="1"/>
          <w:color w:val="auto"/>
        </w:rPr>
        <w:t>elected annually</w:t>
      </w:r>
      <w:r>
        <w:rPr>
          <w:rFonts w:ascii="Arial" w:cs="Arial" w:eastAsia="Arial" w:hAnsi="Arial"/>
          <w:sz w:val="16"/>
          <w:szCs w:val="16"/>
          <w:color w:val="auto"/>
        </w:rPr>
        <w:t xml:space="preserve"> by shareholders to serve a one-year term.</w:t>
      </w:r>
    </w:p>
    <w:p>
      <w:pPr>
        <w:spacing w:after="0" w:line="194" w:lineRule="exact"/>
        <w:rPr>
          <w:sz w:val="20"/>
          <w:szCs w:val="20"/>
          <w:color w:val="auto"/>
        </w:rPr>
      </w:pPr>
    </w:p>
    <w:p>
      <w:pPr>
        <w:ind w:left="520" w:right="320"/>
        <w:spacing w:after="0" w:line="286" w:lineRule="auto"/>
        <w:rPr>
          <w:sz w:val="20"/>
          <w:szCs w:val="20"/>
          <w:color w:val="auto"/>
        </w:rPr>
      </w:pPr>
      <w:r>
        <w:rPr>
          <w:rFonts w:ascii="Arial" w:cs="Arial" w:eastAsia="Arial" w:hAnsi="Arial"/>
          <w:sz w:val="16"/>
          <w:szCs w:val="16"/>
          <w:color w:val="auto"/>
        </w:rPr>
        <w:t xml:space="preserve">We adopted </w:t>
      </w:r>
      <w:r>
        <w:rPr>
          <w:rFonts w:ascii="Arial" w:cs="Arial" w:eastAsia="Arial" w:hAnsi="Arial"/>
          <w:sz w:val="16"/>
          <w:szCs w:val="16"/>
          <w:b w:val="1"/>
          <w:bCs w:val="1"/>
          <w:color w:val="auto"/>
        </w:rPr>
        <w:t>proxy access</w:t>
      </w:r>
      <w:r>
        <w:rPr>
          <w:rFonts w:ascii="Arial" w:cs="Arial" w:eastAsia="Arial" w:hAnsi="Arial"/>
          <w:sz w:val="16"/>
          <w:szCs w:val="16"/>
          <w:color w:val="auto"/>
        </w:rPr>
        <w:t xml:space="preserve"> in 2023, and allow up to 20 shareholders holding at least 3% of our outstanding shares of common stock continuously for at least three years to nominate up to the greater of two Directors or 20% of the Board.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Directors generally </w:t>
      </w:r>
      <w:r>
        <w:rPr>
          <w:rFonts w:ascii="Arial" w:cs="Arial" w:eastAsia="Arial" w:hAnsi="Arial"/>
          <w:sz w:val="16"/>
          <w:szCs w:val="16"/>
          <w:b w:val="1"/>
          <w:bCs w:val="1"/>
          <w:color w:val="auto"/>
        </w:rPr>
        <w:t>may not serve</w:t>
      </w:r>
      <w:r>
        <w:rPr>
          <w:rFonts w:ascii="Arial" w:cs="Arial" w:eastAsia="Arial" w:hAnsi="Arial"/>
          <w:sz w:val="16"/>
          <w:szCs w:val="16"/>
          <w:color w:val="auto"/>
        </w:rPr>
        <w:t xml:space="preserve"> on the boards of more than 3 other public companies.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Corporate funds or resources are </w:t>
      </w:r>
      <w:r>
        <w:rPr>
          <w:rFonts w:ascii="Arial" w:cs="Arial" w:eastAsia="Arial" w:hAnsi="Arial"/>
          <w:sz w:val="16"/>
          <w:szCs w:val="16"/>
          <w:b w:val="1"/>
          <w:bCs w:val="1"/>
          <w:color w:val="auto"/>
        </w:rPr>
        <w:t>not used for direct contributions</w:t>
      </w:r>
      <w:r>
        <w:rPr>
          <w:rFonts w:ascii="Arial" w:cs="Arial" w:eastAsia="Arial" w:hAnsi="Arial"/>
          <w:sz w:val="16"/>
          <w:szCs w:val="16"/>
          <w:color w:val="auto"/>
        </w:rPr>
        <w:t xml:space="preserve"> to political candidates or campaigns.</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Independent Board members meet regularly in </w:t>
      </w:r>
      <w:r>
        <w:rPr>
          <w:rFonts w:ascii="Arial" w:cs="Arial" w:eastAsia="Arial" w:hAnsi="Arial"/>
          <w:sz w:val="16"/>
          <w:szCs w:val="16"/>
          <w:b w:val="1"/>
          <w:bCs w:val="1"/>
          <w:color w:val="auto"/>
        </w:rPr>
        <w:t>executive sessions</w:t>
      </w:r>
      <w:r>
        <w:rPr>
          <w:rFonts w:ascii="Arial" w:cs="Arial" w:eastAsia="Arial" w:hAnsi="Arial"/>
          <w:sz w:val="16"/>
          <w:szCs w:val="16"/>
          <w:color w:val="auto"/>
        </w:rPr>
        <w:t>, without management present.</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27% of our Board has a </w:t>
      </w:r>
      <w:r>
        <w:rPr>
          <w:rFonts w:ascii="Arial" w:cs="Arial" w:eastAsia="Arial" w:hAnsi="Arial"/>
          <w:sz w:val="16"/>
          <w:szCs w:val="16"/>
          <w:b w:val="1"/>
          <w:bCs w:val="1"/>
          <w:color w:val="auto"/>
        </w:rPr>
        <w:t>tenure of three years or less</w:t>
      </w:r>
      <w:r>
        <w:rPr>
          <w:rFonts w:ascii="Arial" w:cs="Arial" w:eastAsia="Arial" w:hAnsi="Arial"/>
          <w:sz w:val="16"/>
          <w:szCs w:val="16"/>
          <w:color w:val="auto"/>
        </w:rPr>
        <w:t>.</w:t>
      </w:r>
    </w:p>
    <w:p>
      <w:pPr>
        <w:spacing w:after="0" w:line="194" w:lineRule="exact"/>
        <w:rPr>
          <w:sz w:val="20"/>
          <w:szCs w:val="20"/>
          <w:color w:val="auto"/>
        </w:rPr>
      </w:pPr>
    </w:p>
    <w:p>
      <w:pPr>
        <w:ind w:left="520" w:right="1400"/>
        <w:spacing w:after="0" w:line="286" w:lineRule="auto"/>
        <w:rPr>
          <w:sz w:val="20"/>
          <w:szCs w:val="20"/>
          <w:color w:val="auto"/>
        </w:rPr>
      </w:pPr>
      <w:r>
        <w:rPr>
          <w:rFonts w:ascii="Arial" w:cs="Arial" w:eastAsia="Arial" w:hAnsi="Arial"/>
          <w:sz w:val="16"/>
          <w:szCs w:val="16"/>
          <w:b w:val="1"/>
          <w:bCs w:val="1"/>
          <w:color w:val="auto"/>
        </w:rPr>
        <w:t xml:space="preserve">Director compensation is reviewed biennially </w:t>
      </w:r>
      <w:r>
        <w:rPr>
          <w:rFonts w:ascii="Arial" w:cs="Arial" w:eastAsia="Arial" w:hAnsi="Arial"/>
          <w:sz w:val="16"/>
          <w:szCs w:val="16"/>
          <w:color w:val="auto"/>
        </w:rPr>
        <w:t>with advice from our independent compensation consultant and benchmarked for</w:t>
      </w:r>
      <w:r>
        <w:rPr>
          <w:rFonts w:ascii="Arial" w:cs="Arial" w:eastAsia="Arial" w:hAnsi="Arial"/>
          <w:sz w:val="16"/>
          <w:szCs w:val="16"/>
          <w:b w:val="1"/>
          <w:bCs w:val="1"/>
          <w:color w:val="auto"/>
        </w:rPr>
        <w:t xml:space="preserve"> </w:t>
      </w:r>
      <w:r>
        <w:rPr>
          <w:rFonts w:ascii="Arial" w:cs="Arial" w:eastAsia="Arial" w:hAnsi="Arial"/>
          <w:sz w:val="16"/>
          <w:szCs w:val="16"/>
          <w:color w:val="auto"/>
        </w:rPr>
        <w:t>competitiveness.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There are </w:t>
      </w:r>
      <w:r>
        <w:rPr>
          <w:rFonts w:ascii="Arial" w:cs="Arial" w:eastAsia="Arial" w:hAnsi="Arial"/>
          <w:sz w:val="16"/>
          <w:szCs w:val="16"/>
          <w:b w:val="1"/>
          <w:bCs w:val="1"/>
          <w:color w:val="auto"/>
        </w:rPr>
        <w:t>no related party transactions</w:t>
      </w:r>
      <w:r>
        <w:rPr>
          <w:rFonts w:ascii="Arial" w:cs="Arial" w:eastAsia="Arial" w:hAnsi="Arial"/>
          <w:sz w:val="16"/>
          <w:szCs w:val="16"/>
          <w:color w:val="auto"/>
        </w:rPr>
        <w:t xml:space="preserve"> with our Directors, officers, or significant shareholders.</w:t>
      </w:r>
    </w:p>
    <w:p>
      <w:pPr>
        <w:spacing w:after="0" w:line="194" w:lineRule="exact"/>
        <w:rPr>
          <w:sz w:val="20"/>
          <w:szCs w:val="20"/>
          <w:color w:val="auto"/>
        </w:rPr>
      </w:pPr>
    </w:p>
    <w:p>
      <w:pPr>
        <w:ind w:left="920" w:right="320" w:firstLine="9"/>
        <w:spacing w:after="0" w:line="286" w:lineRule="auto"/>
        <w:rPr>
          <w:sz w:val="20"/>
          <w:szCs w:val="20"/>
          <w:color w:val="auto"/>
        </w:rPr>
      </w:pPr>
      <w:r>
        <w:rPr>
          <w:rFonts w:ascii="Arial" w:cs="Arial" w:eastAsia="Arial" w:hAnsi="Arial"/>
          <w:sz w:val="16"/>
          <w:szCs w:val="16"/>
          <w:color w:val="auto"/>
        </w:rPr>
        <w:t xml:space="preserve">Hubbell’s Directors are now elected by </w:t>
      </w:r>
      <w:r>
        <w:rPr>
          <w:rFonts w:ascii="Arial" w:cs="Arial" w:eastAsia="Arial" w:hAnsi="Arial"/>
          <w:sz w:val="16"/>
          <w:szCs w:val="16"/>
          <w:b w:val="1"/>
          <w:bCs w:val="1"/>
          <w:color w:val="auto"/>
        </w:rPr>
        <w:t>majority vote</w:t>
      </w:r>
      <w:r>
        <w:rPr>
          <w:rFonts w:ascii="Arial" w:cs="Arial" w:eastAsia="Arial" w:hAnsi="Arial"/>
          <w:sz w:val="16"/>
          <w:szCs w:val="16"/>
          <w:color w:val="auto"/>
        </w:rPr>
        <w:t xml:space="preserve"> in uncontested elections of Directors, a change adopted by Hubbell’s shareholders on May 6, 2025. Previously it had been a plurality vote standard.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Board and each Committee </w:t>
      </w:r>
      <w:r>
        <w:rPr>
          <w:rFonts w:ascii="Arial" w:cs="Arial" w:eastAsia="Arial" w:hAnsi="Arial"/>
          <w:sz w:val="16"/>
          <w:szCs w:val="16"/>
          <w:b w:val="1"/>
          <w:bCs w:val="1"/>
          <w:color w:val="auto"/>
        </w:rPr>
        <w:t>may hire outside advisors</w:t>
      </w:r>
      <w:r>
        <w:rPr>
          <w:rFonts w:ascii="Arial" w:cs="Arial" w:eastAsia="Arial" w:hAnsi="Arial"/>
          <w:sz w:val="16"/>
          <w:szCs w:val="16"/>
          <w:color w:val="auto"/>
        </w:rPr>
        <w:t xml:space="preserve"> independent from management.</w:t>
      </w:r>
    </w:p>
    <w:p>
      <w:pPr>
        <w:spacing w:after="0" w:line="194" w:lineRule="exact"/>
        <w:rPr>
          <w:sz w:val="20"/>
          <w:szCs w:val="20"/>
          <w:color w:val="auto"/>
        </w:rPr>
      </w:pPr>
    </w:p>
    <w:p>
      <w:pPr>
        <w:ind w:left="520" w:right="1100"/>
        <w:spacing w:after="0" w:line="286" w:lineRule="auto"/>
        <w:rPr>
          <w:sz w:val="20"/>
          <w:szCs w:val="20"/>
          <w:color w:val="auto"/>
        </w:rPr>
      </w:pPr>
      <w:r>
        <w:rPr>
          <w:rFonts w:ascii="Arial" w:cs="Arial" w:eastAsia="Arial" w:hAnsi="Arial"/>
          <w:sz w:val="16"/>
          <w:szCs w:val="16"/>
          <w:color w:val="auto"/>
        </w:rPr>
        <w:t xml:space="preserve">The Board receives </w:t>
      </w:r>
      <w:r>
        <w:rPr>
          <w:rFonts w:ascii="Arial" w:cs="Arial" w:eastAsia="Arial" w:hAnsi="Arial"/>
          <w:sz w:val="16"/>
          <w:szCs w:val="16"/>
          <w:b w:val="1"/>
          <w:bCs w:val="1"/>
          <w:color w:val="auto"/>
        </w:rPr>
        <w:t>regular reports and updates</w:t>
      </w:r>
      <w:r>
        <w:rPr>
          <w:rFonts w:ascii="Arial" w:cs="Arial" w:eastAsia="Arial" w:hAnsi="Arial"/>
          <w:sz w:val="16"/>
          <w:szCs w:val="16"/>
          <w:color w:val="auto"/>
        </w:rPr>
        <w:t xml:space="preserve"> on key areas of strategy and risk for Hubbell, including, cybersecurity, performance, sustainability, innovation, artificial intelligence, talent and human capital management.</w:t>
      </w:r>
    </w:p>
    <w:p>
      <w:pPr>
        <w:spacing w:after="0" w:line="129" w:lineRule="exact"/>
        <w:rPr>
          <w:sz w:val="20"/>
          <w:szCs w:val="20"/>
          <w:color w:val="auto"/>
        </w:rPr>
      </w:pPr>
    </w:p>
    <w:p>
      <w:pPr>
        <w:ind w:left="520" w:right="440"/>
        <w:spacing w:after="0" w:line="286" w:lineRule="auto"/>
        <w:rPr>
          <w:sz w:val="20"/>
          <w:szCs w:val="20"/>
          <w:color w:val="auto"/>
        </w:rPr>
      </w:pPr>
      <w:r>
        <w:rPr>
          <w:rFonts w:ascii="Arial" w:cs="Arial" w:eastAsia="Arial" w:hAnsi="Arial"/>
          <w:sz w:val="16"/>
          <w:szCs w:val="16"/>
          <w:color w:val="auto"/>
        </w:rPr>
        <w:t xml:space="preserve">The Board engages in a multi-part </w:t>
      </w:r>
      <w:r>
        <w:rPr>
          <w:rFonts w:ascii="Arial" w:cs="Arial" w:eastAsia="Arial" w:hAnsi="Arial"/>
          <w:sz w:val="16"/>
          <w:szCs w:val="16"/>
          <w:b w:val="1"/>
          <w:bCs w:val="1"/>
          <w:color w:val="auto"/>
        </w:rPr>
        <w:t>self</w:t>
      </w:r>
      <w:r>
        <w:rPr>
          <w:rFonts w:ascii="Arial" w:cs="Arial" w:eastAsia="Arial" w:hAnsi="Arial"/>
          <w:sz w:val="16"/>
          <w:szCs w:val="16"/>
          <w:color w:val="auto"/>
        </w:rPr>
        <w:t>-</w:t>
      </w:r>
      <w:r>
        <w:rPr>
          <w:rFonts w:ascii="Arial" w:cs="Arial" w:eastAsia="Arial" w:hAnsi="Arial"/>
          <w:sz w:val="16"/>
          <w:szCs w:val="16"/>
          <w:b w:val="1"/>
          <w:bCs w:val="1"/>
          <w:color w:val="auto"/>
        </w:rPr>
        <w:t>evaluation</w:t>
      </w:r>
      <w:r>
        <w:rPr>
          <w:rFonts w:ascii="Arial" w:cs="Arial" w:eastAsia="Arial" w:hAnsi="Arial"/>
          <w:sz w:val="16"/>
          <w:szCs w:val="16"/>
          <w:color w:val="auto"/>
        </w:rPr>
        <w:t xml:space="preserve"> on an annual basis in which Board and Committee matters are reviewed and discussed, and changes and improvements are implemented.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We do not have a poison pill </w:t>
      </w:r>
      <w:r>
        <w:rPr>
          <w:rFonts w:ascii="Arial" w:cs="Arial" w:eastAsia="Arial" w:hAnsi="Arial"/>
          <w:sz w:val="16"/>
          <w:szCs w:val="16"/>
          <w:color w:val="auto"/>
        </w:rPr>
        <w:t>(shareholders’ rights plan).</w:t>
      </w:r>
    </w:p>
    <w:p>
      <w:pPr>
        <w:spacing w:after="0" w:line="383"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Leadership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5226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52260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80" w:right="1400"/>
        <w:spacing w:after="0" w:line="281" w:lineRule="auto"/>
        <w:rPr>
          <w:sz w:val="20"/>
          <w:szCs w:val="20"/>
          <w:color w:val="auto"/>
        </w:rPr>
      </w:pPr>
      <w:r>
        <w:rPr>
          <w:rFonts w:ascii="Arial" w:cs="Arial" w:eastAsia="Arial" w:hAnsi="Arial"/>
          <w:sz w:val="18"/>
          <w:szCs w:val="18"/>
          <w:b w:val="1"/>
          <w:bCs w:val="1"/>
          <w:color w:val="auto"/>
        </w:rPr>
        <w:t>Our independent Lead Director counterbalances a non</w:t>
      </w:r>
      <w:r>
        <w:rPr>
          <w:rFonts w:ascii="Arial" w:cs="Arial" w:eastAsia="Arial" w:hAnsi="Arial"/>
          <w:sz w:val="18"/>
          <w:szCs w:val="18"/>
          <w:color w:val="auto"/>
        </w:rPr>
        <w:t>-</w:t>
      </w:r>
      <w:r>
        <w:rPr>
          <w:rFonts w:ascii="Arial" w:cs="Arial" w:eastAsia="Arial" w:hAnsi="Arial"/>
          <w:sz w:val="18"/>
          <w:szCs w:val="18"/>
          <w:b w:val="1"/>
          <w:bCs w:val="1"/>
          <w:color w:val="auto"/>
        </w:rPr>
        <w:t>independent Chair and fosters effective collaboration and communication among the independent Directors.</w:t>
      </w:r>
    </w:p>
    <w:p>
      <w:pPr>
        <w:spacing w:after="0" w:line="295" w:lineRule="exact"/>
        <w:rPr>
          <w:sz w:val="20"/>
          <w:szCs w:val="20"/>
          <w:color w:val="auto"/>
        </w:rPr>
      </w:pPr>
    </w:p>
    <w:p>
      <w:pPr>
        <w:spacing w:after="0"/>
        <w:rPr>
          <w:sz w:val="20"/>
          <w:szCs w:val="20"/>
          <w:color w:val="auto"/>
        </w:rPr>
      </w:pPr>
      <w:r>
        <w:rPr>
          <w:rFonts w:ascii="Arial" w:cs="Arial" w:eastAsia="Arial" w:hAnsi="Arial"/>
          <w:sz w:val="25"/>
          <w:szCs w:val="25"/>
          <w:color w:val="auto"/>
        </w:rPr>
        <w:t>Chair</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By-Laws require the Board to choose the Chair of the Board from among the Directors, including potentially Hubbell’s CEO. This approach gives the Board the necessary flexibility to determine whether the CEO and Chair positions should be held by the same person or by separate people based on the leadership needs of the Company at any particular time. The Board believes there is no single, generally accepted approach to providing board leadership, and that each possible leadership structure must be considered in the context of the individuals involved and the specific circumstances facing a company at any given time. Accordingly, Hubbell’s optimal Board leadership structure may vary as circumstances change.</w:t>
      </w:r>
    </w:p>
    <w:p>
      <w:pPr>
        <w:spacing w:after="0" w:line="15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Mr. Bakker has served as Hubbell’s Chairman, President and Chief Executive Officer since May 2021. The Board has determined that combining the roles of Chief Executive Officer and Chair is best for the Company and its shareholders at this time. This structure promotes unified leadership and allows for a single, clear focus for management to execute Hubbell’s strategic and business plans and is appropriately balanced by the presence of an independent Lead Director.</w:t>
      </w:r>
    </w:p>
    <w:p>
      <w:pPr>
        <w:spacing w:after="0" w:line="334" w:lineRule="exact"/>
        <w:rPr>
          <w:sz w:val="20"/>
          <w:szCs w:val="20"/>
          <w:color w:val="auto"/>
        </w:rPr>
      </w:pPr>
    </w:p>
    <w:p>
      <w:pPr>
        <w:spacing w:after="0"/>
        <w:rPr>
          <w:sz w:val="20"/>
          <w:szCs w:val="20"/>
          <w:color w:val="auto"/>
        </w:rPr>
      </w:pPr>
      <w:r>
        <w:rPr>
          <w:rFonts w:ascii="Arial" w:cs="Arial" w:eastAsia="Arial" w:hAnsi="Arial"/>
          <w:sz w:val="25"/>
          <w:szCs w:val="25"/>
          <w:color w:val="auto"/>
        </w:rPr>
        <w:t>Independent Lead Director</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has established the position of an independent Lead Director to serve a three-year term. The Board believes that a three-year term is appropriate as it affords continuity and gives the Lead Director time to gain an understanding of Board and management dynamics and to build relationships with the other Directors. The Lead Director is responsible for:</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20" w:type="dxa"/>
            <w:vAlign w:val="bottom"/>
            <w:tcBorders>
              <w:top w:val="single" w:sz="8" w:color="BCBEC0"/>
              <w:bottom w:val="single" w:sz="8" w:color="BCBEC0"/>
            </w:tcBorders>
          </w:tcPr>
          <w:p>
            <w:pPr>
              <w:ind w:left="60"/>
              <w:spacing w:after="0"/>
              <w:rPr>
                <w:sz w:val="20"/>
                <w:szCs w:val="20"/>
                <w:color w:val="auto"/>
              </w:rPr>
            </w:pPr>
            <w:r>
              <w:rPr>
                <w:rFonts w:ascii="Arial" w:cs="Arial" w:eastAsia="Arial" w:hAnsi="Arial"/>
                <w:sz w:val="16"/>
                <w:szCs w:val="16"/>
                <w:b w:val="1"/>
                <w:bCs w:val="1"/>
                <w:color w:val="auto"/>
              </w:rPr>
              <w:t>Board Leadership</w:t>
            </w:r>
          </w:p>
        </w:tc>
        <w:tc>
          <w:tcPr>
            <w:tcW w:w="9520" w:type="dxa"/>
            <w:vAlign w:val="bottom"/>
            <w:tcBorders>
              <w:top w:val="single" w:sz="8" w:color="BCBEC0"/>
              <w:bottom w:val="single" w:sz="8" w:color="BCBEC0"/>
            </w:tcBorders>
          </w:tcPr>
          <w:p>
            <w:pPr>
              <w:ind w:left="140"/>
              <w:spacing w:after="0"/>
              <w:rPr>
                <w:sz w:val="20"/>
                <w:szCs w:val="20"/>
                <w:color w:val="auto"/>
              </w:rPr>
            </w:pPr>
            <w:r>
              <w:rPr>
                <w:rFonts w:ascii="Arial" w:cs="Arial" w:eastAsia="Arial" w:hAnsi="Arial"/>
                <w:sz w:val="16"/>
                <w:szCs w:val="16"/>
                <w:color w:val="auto"/>
              </w:rPr>
              <w:t>Providing leadership to the Board in situations where the Chair’s role may be perceived to be in conflict.</w:t>
            </w:r>
          </w:p>
        </w:tc>
      </w:tr>
      <w:tr>
        <w:trPr>
          <w:trHeight w:val="168"/>
        </w:trPr>
        <w:tc>
          <w:tcPr>
            <w:tcW w:w="172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Executive Sessions</w:t>
            </w:r>
          </w:p>
        </w:tc>
        <w:tc>
          <w:tcPr>
            <w:tcW w:w="9520" w:type="dxa"/>
            <w:vAlign w:val="bottom"/>
          </w:tcPr>
          <w:p>
            <w:pPr>
              <w:ind w:left="140"/>
              <w:spacing w:after="0" w:line="168" w:lineRule="exact"/>
              <w:rPr>
                <w:sz w:val="20"/>
                <w:szCs w:val="20"/>
                <w:color w:val="auto"/>
              </w:rPr>
            </w:pPr>
            <w:r>
              <w:rPr>
                <w:rFonts w:ascii="Arial" w:cs="Arial" w:eastAsia="Arial" w:hAnsi="Arial"/>
                <w:sz w:val="16"/>
                <w:szCs w:val="16"/>
                <w:color w:val="auto"/>
              </w:rPr>
              <w:t>Coordinating the agenda and chairing executive sessions of the independent Directors regularly throughout the year and at each</w:t>
            </w:r>
          </w:p>
        </w:tc>
      </w:tr>
      <w:tr>
        <w:trPr>
          <w:trHeight w:val="203"/>
        </w:trPr>
        <w:tc>
          <w:tcPr>
            <w:tcW w:w="1720" w:type="dxa"/>
            <w:vAlign w:val="bottom"/>
            <w:tcBorders>
              <w:bottom w:val="single" w:sz="8" w:color="BCBEC0"/>
            </w:tcBorders>
          </w:tcPr>
          <w:p>
            <w:pPr>
              <w:spacing w:after="0"/>
              <w:rPr>
                <w:sz w:val="17"/>
                <w:szCs w:val="17"/>
                <w:color w:val="auto"/>
              </w:rPr>
            </w:pPr>
          </w:p>
        </w:tc>
        <w:tc>
          <w:tcPr>
            <w:tcW w:w="9520" w:type="dxa"/>
            <w:vAlign w:val="bottom"/>
            <w:tcBorders>
              <w:bottom w:val="single" w:sz="8" w:color="BCBEC0"/>
            </w:tcBorders>
          </w:tcPr>
          <w:p>
            <w:pPr>
              <w:ind w:left="140"/>
              <w:spacing w:after="0"/>
              <w:rPr>
                <w:sz w:val="20"/>
                <w:szCs w:val="20"/>
                <w:color w:val="auto"/>
              </w:rPr>
            </w:pPr>
            <w:r>
              <w:rPr>
                <w:rFonts w:ascii="Arial" w:cs="Arial" w:eastAsia="Arial" w:hAnsi="Arial"/>
                <w:sz w:val="16"/>
                <w:szCs w:val="16"/>
                <w:color w:val="auto"/>
              </w:rPr>
              <w:t>regularly scheduled Board meeting.</w:t>
            </w:r>
          </w:p>
        </w:tc>
      </w:tr>
      <w:tr>
        <w:trPr>
          <w:trHeight w:val="183"/>
        </w:trPr>
        <w:tc>
          <w:tcPr>
            <w:tcW w:w="17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Liaison</w:t>
            </w:r>
          </w:p>
        </w:tc>
        <w:tc>
          <w:tcPr>
            <w:tcW w:w="9520" w:type="dxa"/>
            <w:vAlign w:val="bottom"/>
            <w:tcBorders>
              <w:bottom w:val="single" w:sz="8" w:color="BCBEC0"/>
            </w:tcBorders>
          </w:tcPr>
          <w:p>
            <w:pPr>
              <w:ind w:left="140"/>
              <w:spacing w:after="0" w:line="183" w:lineRule="exact"/>
              <w:rPr>
                <w:sz w:val="20"/>
                <w:szCs w:val="20"/>
                <w:color w:val="auto"/>
              </w:rPr>
            </w:pPr>
            <w:r>
              <w:rPr>
                <w:rFonts w:ascii="Arial" w:cs="Arial" w:eastAsia="Arial" w:hAnsi="Arial"/>
                <w:sz w:val="16"/>
                <w:szCs w:val="16"/>
                <w:color w:val="auto"/>
              </w:rPr>
              <w:t>Regularly meeting with the Chair and facilitating communications among the Chair, management, and the independent Directors.</w:t>
            </w:r>
          </w:p>
        </w:tc>
      </w:tr>
      <w:tr>
        <w:trPr>
          <w:trHeight w:val="183"/>
        </w:trPr>
        <w:tc>
          <w:tcPr>
            <w:tcW w:w="17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Spokesperson</w:t>
            </w:r>
          </w:p>
        </w:tc>
        <w:tc>
          <w:tcPr>
            <w:tcW w:w="9520" w:type="dxa"/>
            <w:vAlign w:val="bottom"/>
            <w:tcBorders>
              <w:bottom w:val="single" w:sz="8" w:color="BCBEC0"/>
            </w:tcBorders>
          </w:tcPr>
          <w:p>
            <w:pPr>
              <w:ind w:left="140"/>
              <w:spacing w:after="0" w:line="183" w:lineRule="exact"/>
              <w:rPr>
                <w:sz w:val="20"/>
                <w:szCs w:val="20"/>
                <w:color w:val="auto"/>
              </w:rPr>
            </w:pPr>
            <w:r>
              <w:rPr>
                <w:rFonts w:ascii="Arial" w:cs="Arial" w:eastAsia="Arial" w:hAnsi="Arial"/>
                <w:sz w:val="16"/>
                <w:szCs w:val="16"/>
                <w:color w:val="auto"/>
              </w:rPr>
              <w:t>Upon request, acting as the spokesperson for the Board in interactions with third parties.</w:t>
            </w:r>
          </w:p>
        </w:tc>
      </w:tr>
      <w:tr>
        <w:trPr>
          <w:trHeight w:val="183"/>
        </w:trPr>
        <w:tc>
          <w:tcPr>
            <w:tcW w:w="17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Succession</w:t>
            </w:r>
          </w:p>
        </w:tc>
        <w:tc>
          <w:tcPr>
            <w:tcW w:w="9520" w:type="dxa"/>
            <w:vAlign w:val="bottom"/>
            <w:tcBorders>
              <w:bottom w:val="single" w:sz="8" w:color="BCBEC0"/>
            </w:tcBorders>
          </w:tcPr>
          <w:p>
            <w:pPr>
              <w:ind w:left="140"/>
              <w:spacing w:after="0" w:line="183" w:lineRule="exact"/>
              <w:rPr>
                <w:sz w:val="20"/>
                <w:szCs w:val="20"/>
                <w:color w:val="auto"/>
              </w:rPr>
            </w:pPr>
            <w:r>
              <w:rPr>
                <w:rFonts w:ascii="Arial" w:cs="Arial" w:eastAsia="Arial" w:hAnsi="Arial"/>
                <w:sz w:val="16"/>
                <w:szCs w:val="16"/>
                <w:color w:val="auto"/>
              </w:rPr>
              <w:t>Working with the NCGC and the Chair to review, refresh, and oversee the Company’s succession plans.</w:t>
            </w:r>
          </w:p>
        </w:tc>
      </w:tr>
    </w:tbl>
    <w:p>
      <w:pPr>
        <w:spacing w:after="0" w:line="17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Currently, Mr. Guzzi is the Lead Director and is expected to hold this position until the 2028 Annual Shareholders Meeting. Following the 2028 Annual Meeting, the Board will, upon recommendation from the NCGC, appoint a Director for the next three-year Lead Director term. The Board believes that its present leadership structure and composition provides for independent and effective oversight of the Company’s business and affairs. The Directors all are seasoned leaders, including current or former CEOs, CFOs, COOs, or senior executives of major companies in similar industries and military leaders. In addition, all of the Board’s standing committees (except the Executive Committee) are composed entirely of Directors who meet the independence requirements of the New York Stock Exchange (“NYSE”). Mr. Bakker is the only Director who is a member of executive management. Given the accomplished leadership of Mr. Bakker as Chairman, President and Chief Executive Officer, the counterbalancing role of Hubbell’s strong, independent Lead Director, and a Board otherwise made up of effective and independent Directors, the Board believes that its current leadership structure is appropriate at this time.</w:t>
      </w:r>
    </w:p>
    <w:p>
      <w:pPr>
        <w:spacing w:after="0" w:line="35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24</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Independence</w:t>
      </w:r>
    </w:p>
    <w:p>
      <w:pPr>
        <w:spacing w:after="0" w:line="21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Guidelines provide that the Board must be composed of a majority of independent Directors. Ten of our eleven current Directors are independent. The NCGC evaluates the independence of our Directors each year by reviewing all direct and indirect relationships between Directors (either directly or as a partner, shareholder, or officer of an organization that has a relationship with the Company or any of its subsidiaries), on one side, and the Company or one of its subsidiaries, on the other side, in accordance with the rules of the NYSE and the Securities and Exchange Commission (“SEC”) and considering whether any relationship is material. To that end, the NCGC oversees the annual questionnaire process for the Directors and reviews transactions with Director-affiliated entities, Code of Conduct compliance certifications, case submissions filed with the Company’s confidential compliance communication resource and Company donations to charitable organizations with which a Director may be affiliated.</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the ordinary course of business, transactions may occur between Hubbell and its subsidiaries and entities with which some of the Directors are or have been affiliated. The NCGC considered the nature and dollar amounts of Hubbell’s transactions with Directors and determined that none were required to be disclosed or otherwise impaired a Director’s independence. All of these ordinary course transactions were significantly below the NYSE bright-line independence thresholds. As a result of the NCGC’s most recent annual review, the Board determined that each of the current Directors is independent other than Mr. Bakker.</w:t>
      </w: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Oversight of Risk</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Members of senior management assist the Board and its Committees with their risk oversight responsibilities through routine discussions of risks involved in their specific areas of authority. For example, our senior leaders will report to the Board at regular intervals on the Company’s strategic planning activities and risks relevant to execution of the Company’s strategy. In addition, from time to time, independent consultants with specific areas of expertise are engaged to discuss topics that the Board and management have determined may present a material risk to the Company’s operations, plans, or reputation. The Board believes its leadership structure, with a combined CEO and Chairman position and an independent Lead Director, facilitates its role in the oversight of the Company’s risks. Generally, risk oversight responsibilities are allocated as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3860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378"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136130" cy="15132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6130" cy="1513205"/>
                    </a:xfrm>
                    <a:prstGeom prst="rect">
                      <a:avLst/>
                    </a:prstGeom>
                    <a:noFill/>
                  </pic:spPr>
                </pic:pic>
              </a:graphicData>
            </a:graphic>
          </wp:anchor>
        </w:drawing>
      </w:r>
    </w:p>
    <w:p>
      <w:pPr>
        <w:spacing w:after="0" w:line="390"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Oversees the Company’s risk management practices and annually reviews with management the implementation and results of the Company’s enterprise risk management program. The risk management program identifies and quantifies a broad spectrum of risks in various categories, such as strategic, operational, compliance, financial, information technology, artificial intelligence, and cybersecurity, and develops related action plans.</w:t>
      </w:r>
    </w:p>
    <w:p>
      <w:pPr>
        <w:sectPr>
          <w:pgSz w:w="11900" w:h="16838" w:orient="portrait"/>
          <w:cols w:equalWidth="0" w:num="1">
            <w:col w:w="11240"/>
          </w:cols>
          <w:pgMar w:left="320" w:top="238" w:right="339" w:bottom="1440" w:gutter="0" w:footer="0" w:header="0"/>
        </w:sectPr>
      </w:pP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AUDIT COMMITTEE</w:t>
      </w:r>
    </w:p>
    <w:p>
      <w:pPr>
        <w:spacing w:after="0" w:line="100"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Routinely discusses with management the Company’s policies and processes with respect to assessing risk; reviews financial, legal, cybersecurity, and compliance risk exposures and related controls.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Considers risks associated with our compensation plans, policies, and programs.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NCGC</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Reviews risks relating to Director selection, governance, Board composition, succession, and sustainability.</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FINANCE COMMITTEE</w:t>
      </w:r>
    </w:p>
    <w:p>
      <w:pPr>
        <w:spacing w:after="0" w:line="100"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Considers risks associated with the Company’s capital structure, acquisition strategy, insurance programs, and cash management.</w:t>
      </w:r>
    </w:p>
    <w:p>
      <w:pPr>
        <w:spacing w:after="0" w:line="574" w:lineRule="exact"/>
        <w:rPr>
          <w:sz w:val="20"/>
          <w:szCs w:val="20"/>
          <w:color w:val="auto"/>
        </w:rPr>
      </w:pPr>
    </w:p>
    <w:p>
      <w:pPr>
        <w:sectPr>
          <w:pgSz w:w="11900" w:h="16838" w:orient="portrait"/>
          <w:cols w:equalWidth="0" w:num="4">
            <w:col w:w="2720" w:space="260"/>
            <w:col w:w="2400" w:space="380"/>
            <w:col w:w="2360" w:space="380"/>
            <w:col w:w="2740"/>
          </w:cols>
          <w:pgMar w:left="320" w:top="238" w:right="339"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Arial" w:cs="Arial" w:eastAsia="Arial" w:hAnsi="Arial"/>
          <w:sz w:val="25"/>
          <w:szCs w:val="25"/>
          <w:color w:val="auto"/>
        </w:rPr>
        <w:t>Compensation Risk Assessment</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2025, as part of our risk management activities, the Compensation Committee reviewed the Company’s compensation policies and practices applicable to all employees that could affect the Company’s assessment of risk and risk management and determined that such compensation policies and practices do not create risks that are reasonably likely to have a material adverse effect on the Company. See Compensation Governance Snapshot on page 41 for additional information.</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Committees</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Board of Directors has established five standing committees to assist it in fulfilling its responsibilities: Audit, Compensation, Executive, Finance, and NCGC. The principal responsibilities of each committee are described generally below and in detail in their respective committee charters, which are</w:t>
      </w:r>
    </w:p>
    <w:p>
      <w:pPr>
        <w:jc w:val="both"/>
        <w:spacing w:after="0" w:line="222" w:lineRule="auto"/>
        <w:rPr>
          <w:sz w:val="20"/>
          <w:szCs w:val="20"/>
          <w:color w:val="auto"/>
        </w:rPr>
      </w:pPr>
      <w:r>
        <w:rPr>
          <w:rFonts w:ascii="Arial" w:cs="Arial" w:eastAsia="Arial" w:hAnsi="Arial"/>
          <w:sz w:val="16"/>
          <w:szCs w:val="16"/>
          <w:color w:val="auto"/>
        </w:rPr>
        <w:t xml:space="preserve">available on the Corporate Governance page of our website, </w:t>
      </w:r>
      <w:r>
        <w:rPr>
          <w:rFonts w:ascii="Arial" w:cs="Arial" w:eastAsia="Arial" w:hAnsi="Arial"/>
          <w:sz w:val="16"/>
          <w:szCs w:val="16"/>
          <w:b w:val="1"/>
          <w:bCs w:val="1"/>
          <w:color w:val="auto"/>
        </w:rPr>
        <w:t>www.hubbell.com</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(or, in the case of the Executive Committee charter, in Article III, Section 1, of the Company’s By-Laws). The Board has determined that each member of the Audit, Compensation, Finance, and NCGC is independent for purposes of the NYSE listing standards and SEC regulations.</w:t>
      </w:r>
    </w:p>
    <w:p>
      <w:pPr>
        <w:spacing w:after="0" w:line="173" w:lineRule="exact"/>
        <w:rPr>
          <w:sz w:val="20"/>
          <w:szCs w:val="20"/>
          <w:color w:val="auto"/>
        </w:rPr>
      </w:pPr>
    </w:p>
    <w:p>
      <w:pPr>
        <w:ind w:left="340" w:hanging="332"/>
        <w:spacing w:after="0" w:line="192" w:lineRule="auto"/>
        <w:tabs>
          <w:tab w:leader="none" w:pos="340" w:val="left"/>
        </w:tabs>
        <w:numPr>
          <w:ilvl w:val="0"/>
          <w:numId w:val="2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reference to our website address does not constitute incorporation by reference of the information contained on the website, and such information is not part of this Proxy Statement.</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auto"/>
        </w:rPr>
        <w:t>Audit Committee</w:t>
      </w:r>
    </w:p>
    <w:p>
      <w:pPr>
        <w:spacing w:after="0" w:line="207"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3780" w:type="dxa"/>
            <w:vAlign w:val="bottom"/>
            <w:gridSpan w:val="2"/>
          </w:tcPr>
          <w:p>
            <w:pPr>
              <w:spacing w:after="0"/>
              <w:rPr>
                <w:sz w:val="20"/>
                <w:szCs w:val="20"/>
                <w:color w:val="auto"/>
              </w:rPr>
            </w:pPr>
            <w:r>
              <w:rPr>
                <w:rFonts w:ascii="Arial" w:cs="Arial" w:eastAsia="Arial" w:hAnsi="Arial"/>
                <w:sz w:val="16"/>
                <w:szCs w:val="16"/>
                <w:b w:val="1"/>
                <w:bCs w:val="1"/>
                <w:color w:val="auto"/>
              </w:rPr>
              <w:t>BONNIE C. LIND (Chair)</w:t>
            </w:r>
          </w:p>
        </w:tc>
        <w:tc>
          <w:tcPr>
            <w:tcW w:w="24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85"/>
        </w:trPr>
        <w:tc>
          <w:tcPr>
            <w:tcW w:w="1560" w:type="dxa"/>
            <w:vAlign w:val="bottom"/>
          </w:tcPr>
          <w:p>
            <w:pPr>
              <w:spacing w:after="0"/>
              <w:rPr>
                <w:sz w:val="20"/>
                <w:szCs w:val="20"/>
                <w:color w:val="auto"/>
              </w:rPr>
            </w:pPr>
            <w:r>
              <w:rPr>
                <w:rFonts w:ascii="Arial" w:cs="Arial" w:eastAsia="Arial" w:hAnsi="Arial"/>
                <w:sz w:val="16"/>
                <w:szCs w:val="16"/>
                <w:b w:val="1"/>
                <w:bCs w:val="1"/>
                <w:color w:val="auto"/>
              </w:rPr>
              <w:t>Members</w:t>
            </w:r>
            <w:r>
              <w:rPr>
                <w:rFonts w:ascii="Arial" w:cs="Arial" w:eastAsia="Arial" w:hAnsi="Arial"/>
                <w:sz w:val="26"/>
                <w:szCs w:val="26"/>
                <w:b w:val="1"/>
                <w:bCs w:val="1"/>
                <w:color w:val="auto"/>
                <w:vertAlign w:val="superscript"/>
              </w:rPr>
              <w:t>(1)</w:t>
            </w:r>
            <w:r>
              <w:rPr>
                <w:rFonts w:ascii="Arial" w:cs="Arial" w:eastAsia="Arial" w:hAnsi="Arial"/>
                <w:sz w:val="16"/>
                <w:szCs w:val="16"/>
                <w:b w:val="1"/>
                <w:bCs w:val="1"/>
                <w:color w:val="auto"/>
              </w:rPr>
              <w:t xml:space="preserve"> :</w:t>
            </w:r>
          </w:p>
        </w:tc>
        <w:tc>
          <w:tcPr>
            <w:tcW w:w="2220" w:type="dxa"/>
            <w:vAlign w:val="bottom"/>
          </w:tcPr>
          <w:p>
            <w:pPr>
              <w:spacing w:after="0"/>
              <w:rPr>
                <w:sz w:val="24"/>
                <w:szCs w:val="24"/>
                <w:color w:val="auto"/>
              </w:rPr>
            </w:pPr>
          </w:p>
        </w:tc>
        <w:tc>
          <w:tcPr>
            <w:tcW w:w="2420" w:type="dxa"/>
            <w:vAlign w:val="bottom"/>
          </w:tcPr>
          <w:p>
            <w:pPr>
              <w:jc w:val="right"/>
              <w:ind w:right="857"/>
              <w:spacing w:after="0"/>
              <w:rPr>
                <w:sz w:val="20"/>
                <w:szCs w:val="20"/>
                <w:color w:val="auto"/>
              </w:rPr>
            </w:pPr>
            <w:r>
              <w:rPr>
                <w:rFonts w:ascii="Arial" w:cs="Arial" w:eastAsia="Arial" w:hAnsi="Arial"/>
                <w:sz w:val="25"/>
                <w:szCs w:val="25"/>
                <w:b w:val="1"/>
                <w:bCs w:val="1"/>
                <w:color w:val="auto"/>
              </w:rPr>
              <w:t>8</w:t>
            </w:r>
          </w:p>
        </w:tc>
        <w:tc>
          <w:tcPr>
            <w:tcW w:w="1680" w:type="dxa"/>
            <w:vAlign w:val="bottom"/>
          </w:tcPr>
          <w:p>
            <w:pPr>
              <w:jc w:val="right"/>
              <w:ind w:right="457"/>
              <w:spacing w:after="0"/>
              <w:rPr>
                <w:sz w:val="20"/>
                <w:szCs w:val="20"/>
                <w:color w:val="auto"/>
              </w:rPr>
            </w:pPr>
            <w:r>
              <w:rPr>
                <w:rFonts w:ascii="Arial" w:cs="Arial" w:eastAsia="Arial" w:hAnsi="Arial"/>
                <w:sz w:val="25"/>
                <w:szCs w:val="25"/>
                <w:b w:val="1"/>
                <w:bCs w:val="1"/>
                <w:color w:val="auto"/>
              </w:rPr>
              <w:t>100%</w:t>
            </w:r>
          </w:p>
        </w:tc>
        <w:tc>
          <w:tcPr>
            <w:tcW w:w="1500" w:type="dxa"/>
            <w:vAlign w:val="bottom"/>
          </w:tcPr>
          <w:p>
            <w:pPr>
              <w:jc w:val="right"/>
              <w:ind w:right="177"/>
              <w:spacing w:after="0"/>
              <w:rPr>
                <w:sz w:val="20"/>
                <w:szCs w:val="20"/>
                <w:color w:val="auto"/>
              </w:rPr>
            </w:pPr>
            <w:r>
              <w:rPr>
                <w:rFonts w:ascii="Arial" w:cs="Arial" w:eastAsia="Arial" w:hAnsi="Arial"/>
                <w:sz w:val="25"/>
                <w:szCs w:val="25"/>
                <w:b w:val="1"/>
                <w:bCs w:val="1"/>
                <w:color w:val="FFFFFF"/>
              </w:rPr>
              <w:t>5 / 5</w:t>
            </w:r>
          </w:p>
        </w:tc>
      </w:tr>
      <w:tr>
        <w:trPr>
          <w:trHeight w:val="190"/>
        </w:trPr>
        <w:tc>
          <w:tcPr>
            <w:tcW w:w="1560" w:type="dxa"/>
            <w:vAlign w:val="bottom"/>
          </w:tcPr>
          <w:p>
            <w:pPr>
              <w:spacing w:after="0"/>
              <w:rPr>
                <w:sz w:val="20"/>
                <w:szCs w:val="20"/>
                <w:color w:val="auto"/>
              </w:rPr>
            </w:pPr>
            <w:r>
              <w:rPr>
                <w:rFonts w:ascii="Arial" w:cs="Arial" w:eastAsia="Arial" w:hAnsi="Arial"/>
                <w:sz w:val="16"/>
                <w:szCs w:val="16"/>
                <w:color w:val="auto"/>
              </w:rPr>
              <w:t>Debra L. Dial</w:t>
            </w:r>
          </w:p>
        </w:tc>
        <w:tc>
          <w:tcPr>
            <w:tcW w:w="2220" w:type="dxa"/>
            <w:vAlign w:val="bottom"/>
          </w:tcPr>
          <w:p>
            <w:pPr>
              <w:ind w:left="140"/>
              <w:spacing w:after="0"/>
              <w:rPr>
                <w:sz w:val="20"/>
                <w:szCs w:val="20"/>
                <w:color w:val="auto"/>
              </w:rPr>
            </w:pPr>
            <w:r>
              <w:rPr>
                <w:rFonts w:ascii="Arial" w:cs="Arial" w:eastAsia="Arial" w:hAnsi="Arial"/>
                <w:sz w:val="16"/>
                <w:szCs w:val="16"/>
                <w:color w:val="auto"/>
              </w:rPr>
              <w:t>Garrick J. Rochow</w:t>
            </w:r>
          </w:p>
        </w:tc>
        <w:tc>
          <w:tcPr>
            <w:tcW w:w="2420" w:type="dxa"/>
            <w:vAlign w:val="bottom"/>
          </w:tcPr>
          <w:p>
            <w:pPr>
              <w:jc w:val="center"/>
              <w:ind w:left="257"/>
              <w:spacing w:after="0"/>
              <w:rPr>
                <w:sz w:val="20"/>
                <w:szCs w:val="20"/>
                <w:color w:val="auto"/>
              </w:rPr>
            </w:pPr>
            <w:r>
              <w:rPr>
                <w:rFonts w:ascii="Arial" w:cs="Arial" w:eastAsia="Arial" w:hAnsi="Arial"/>
                <w:sz w:val="16"/>
                <w:szCs w:val="16"/>
                <w:color w:val="auto"/>
              </w:rPr>
              <w:t>Meetings in 2025</w:t>
            </w:r>
          </w:p>
        </w:tc>
        <w:tc>
          <w:tcPr>
            <w:tcW w:w="1680" w:type="dxa"/>
            <w:vAlign w:val="bottom"/>
          </w:tcPr>
          <w:p>
            <w:pPr>
              <w:jc w:val="center"/>
              <w:spacing w:after="0"/>
              <w:rPr>
                <w:sz w:val="20"/>
                <w:szCs w:val="20"/>
                <w:color w:val="auto"/>
              </w:rPr>
            </w:pPr>
            <w:r>
              <w:rPr>
                <w:rFonts w:ascii="Arial" w:cs="Arial" w:eastAsia="Arial" w:hAnsi="Arial"/>
                <w:sz w:val="16"/>
                <w:szCs w:val="16"/>
                <w:color w:val="auto"/>
              </w:rPr>
              <w:t>Attendance</w:t>
            </w:r>
          </w:p>
        </w:tc>
        <w:tc>
          <w:tcPr>
            <w:tcW w:w="1500" w:type="dxa"/>
            <w:vAlign w:val="bottom"/>
          </w:tcPr>
          <w:p>
            <w:pPr>
              <w:jc w:val="center"/>
              <w:ind w:left="377"/>
              <w:spacing w:after="0"/>
              <w:rPr>
                <w:sz w:val="20"/>
                <w:szCs w:val="20"/>
                <w:color w:val="auto"/>
              </w:rPr>
            </w:pPr>
            <w:r>
              <w:rPr>
                <w:rFonts w:ascii="Arial" w:cs="Arial" w:eastAsia="Arial" w:hAnsi="Arial"/>
                <w:sz w:val="16"/>
                <w:szCs w:val="16"/>
                <w:color w:val="FFFFFF"/>
              </w:rPr>
              <w:t>Independence</w:t>
            </w:r>
          </w:p>
        </w:tc>
      </w:tr>
      <w:tr>
        <w:trPr>
          <w:trHeight w:val="204"/>
        </w:trPr>
        <w:tc>
          <w:tcPr>
            <w:tcW w:w="1560" w:type="dxa"/>
            <w:vAlign w:val="bottom"/>
          </w:tcPr>
          <w:p>
            <w:pPr>
              <w:spacing w:after="0"/>
              <w:rPr>
                <w:sz w:val="20"/>
                <w:szCs w:val="20"/>
                <w:color w:val="auto"/>
              </w:rPr>
            </w:pPr>
            <w:r>
              <w:rPr>
                <w:rFonts w:ascii="Arial" w:cs="Arial" w:eastAsia="Arial" w:hAnsi="Arial"/>
                <w:sz w:val="16"/>
                <w:szCs w:val="16"/>
                <w:color w:val="auto"/>
              </w:rPr>
              <w:t>Rhett A. Hernandez</w:t>
            </w:r>
          </w:p>
        </w:tc>
        <w:tc>
          <w:tcPr>
            <w:tcW w:w="22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-626110</wp:posOffset>
            </wp:positionV>
            <wp:extent cx="3531870" cy="8147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531870" cy="8147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71525" cy="7632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76327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6"/>
          <w:szCs w:val="16"/>
          <w:color w:val="auto"/>
        </w:rPr>
        <w:t>John F.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36195</wp:posOffset>
            </wp:positionV>
            <wp:extent cx="2708910" cy="342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08910" cy="342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Oversight Responsibilities</w:t>
      </w:r>
    </w:p>
    <w:p>
      <w:pPr>
        <w:spacing w:after="0" w:line="203"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color w:val="2F8B9E"/>
        </w:rPr>
      </w:pPr>
      <w:r>
        <w:rPr>
          <w:rFonts w:ascii="Arial" w:cs="Arial" w:eastAsia="Arial" w:hAnsi="Arial"/>
          <w:sz w:val="16"/>
          <w:szCs w:val="16"/>
          <w:color w:val="auto"/>
        </w:rPr>
        <w:t>Oversees the Company’s accounting and financial reporting and disclosure processes.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28"/>
        </w:numPr>
        <w:rPr>
          <w:rFonts w:ascii="Arial" w:cs="Arial" w:eastAsia="Arial" w:hAnsi="Arial"/>
          <w:sz w:val="16"/>
          <w:szCs w:val="16"/>
          <w:color w:val="2F8B9E"/>
        </w:rPr>
      </w:pPr>
      <w:r>
        <w:rPr>
          <w:rFonts w:ascii="Arial" w:cs="Arial" w:eastAsia="Arial" w:hAnsi="Arial"/>
          <w:sz w:val="16"/>
          <w:szCs w:val="16"/>
          <w:color w:val="auto"/>
        </w:rPr>
        <w:t>Appoints the independent auditor and evaluates its independence and performance annually.</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28"/>
        </w:numPr>
        <w:rPr>
          <w:rFonts w:ascii="Arial" w:cs="Arial" w:eastAsia="Arial" w:hAnsi="Arial"/>
          <w:sz w:val="16"/>
          <w:szCs w:val="16"/>
          <w:color w:val="2F8B9E"/>
        </w:rPr>
      </w:pPr>
      <w:r>
        <w:rPr>
          <w:rFonts w:ascii="Arial" w:cs="Arial" w:eastAsia="Arial" w:hAnsi="Arial"/>
          <w:sz w:val="16"/>
          <w:szCs w:val="16"/>
          <w:color w:val="auto"/>
        </w:rPr>
        <w:t>Reviews the audit plans and results of the independent auditors.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28"/>
        </w:numPr>
        <w:rPr>
          <w:rFonts w:ascii="Arial" w:cs="Arial" w:eastAsia="Arial" w:hAnsi="Arial"/>
          <w:sz w:val="16"/>
          <w:szCs w:val="16"/>
          <w:color w:val="2F8B9E"/>
        </w:rPr>
      </w:pPr>
      <w:r>
        <w:rPr>
          <w:rFonts w:ascii="Arial" w:cs="Arial" w:eastAsia="Arial" w:hAnsi="Arial"/>
          <w:sz w:val="16"/>
          <w:szCs w:val="16"/>
          <w:color w:val="auto"/>
        </w:rPr>
        <w:t>Approves all audit and non-audit fees for services performed by the independent auditors.</w:t>
      </w:r>
    </w:p>
    <w:p>
      <w:pPr>
        <w:spacing w:after="0" w:line="86" w:lineRule="exact"/>
        <w:rPr>
          <w:rFonts w:ascii="Arial" w:cs="Arial" w:eastAsia="Arial" w:hAnsi="Arial"/>
          <w:sz w:val="16"/>
          <w:szCs w:val="16"/>
          <w:color w:val="2F8B9E"/>
        </w:rPr>
      </w:pPr>
    </w:p>
    <w:p>
      <w:pPr>
        <w:ind w:left="180" w:right="20" w:hanging="172"/>
        <w:spacing w:after="0" w:line="286" w:lineRule="auto"/>
        <w:tabs>
          <w:tab w:leader="none" w:pos="180" w:val="left"/>
        </w:tabs>
        <w:numPr>
          <w:ilvl w:val="0"/>
          <w:numId w:val="28"/>
        </w:numPr>
        <w:rPr>
          <w:rFonts w:ascii="Arial" w:cs="Arial" w:eastAsia="Arial" w:hAnsi="Arial"/>
          <w:sz w:val="16"/>
          <w:szCs w:val="16"/>
          <w:color w:val="2F8B9E"/>
        </w:rPr>
      </w:pPr>
      <w:r>
        <w:rPr>
          <w:rFonts w:ascii="Arial" w:cs="Arial" w:eastAsia="Arial" w:hAnsi="Arial"/>
          <w:sz w:val="16"/>
          <w:szCs w:val="16"/>
          <w:color w:val="auto"/>
        </w:rPr>
        <w:t>Reviews and discusses with management and the independent auditors matters relating to the quality and integrity of the Company’s financial statements, the adequacy of its internal controls processes, and compliance with legal and regulatory requirements.</w:t>
      </w:r>
    </w:p>
    <w:p>
      <w:pPr>
        <w:spacing w:after="0" w:line="20" w:lineRule="exact"/>
        <w:rPr>
          <w:rFonts w:ascii="Arial" w:cs="Arial" w:eastAsia="Arial" w:hAnsi="Arial"/>
          <w:sz w:val="16"/>
          <w:szCs w:val="16"/>
          <w:color w:val="2F8B9E"/>
        </w:rPr>
      </w:pPr>
    </w:p>
    <w:p>
      <w:pPr>
        <w:ind w:left="180" w:hanging="172"/>
        <w:spacing w:after="0"/>
        <w:tabs>
          <w:tab w:leader="none" w:pos="180" w:val="left"/>
        </w:tabs>
        <w:numPr>
          <w:ilvl w:val="0"/>
          <w:numId w:val="28"/>
        </w:numPr>
        <w:rPr>
          <w:rFonts w:ascii="Arial" w:cs="Arial" w:eastAsia="Arial" w:hAnsi="Arial"/>
          <w:sz w:val="16"/>
          <w:szCs w:val="16"/>
          <w:color w:val="2F8B9E"/>
        </w:rPr>
      </w:pPr>
      <w:r>
        <w:rPr>
          <w:rFonts w:ascii="Arial" w:cs="Arial" w:eastAsia="Arial" w:hAnsi="Arial"/>
          <w:sz w:val="16"/>
          <w:szCs w:val="16"/>
          <w:color w:val="auto"/>
        </w:rPr>
        <w:t>Reviews the Company’s cybersecurity plans, policies, threats, and prevention strategies.</w:t>
      </w:r>
    </w:p>
    <w:p>
      <w:pPr>
        <w:spacing w:after="0" w:line="19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Board of Directors has determined that all members of the Audit Committee are financially literate and meet the NYSE standard of having accounting or related financial management expertise. Each member of the Audit Committee other than Messrs. Hernandez and Rochow is an “Audit Committee Financial Expert” as defined by the SEC.</w:t>
      </w:r>
    </w:p>
    <w:p>
      <w:pPr>
        <w:spacing w:after="0" w:line="6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Ms. Pollino left the Audit Committee and joined the NCGC on May 6, 2025.</w:t>
      </w:r>
    </w:p>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rPr>
        <w:t>Compensation Committee</w:t>
      </w:r>
    </w:p>
    <w:p>
      <w:pPr>
        <w:spacing w:after="0" w:line="396"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3820" w:type="dxa"/>
            <w:vAlign w:val="bottom"/>
          </w:tcPr>
          <w:p>
            <w:pPr>
              <w:spacing w:after="0"/>
              <w:rPr>
                <w:sz w:val="20"/>
                <w:szCs w:val="20"/>
                <w:color w:val="auto"/>
              </w:rPr>
            </w:pPr>
            <w:r>
              <w:rPr>
                <w:rFonts w:ascii="Arial" w:cs="Arial" w:eastAsia="Arial" w:hAnsi="Arial"/>
                <w:sz w:val="16"/>
                <w:szCs w:val="16"/>
                <w:b w:val="1"/>
                <w:bCs w:val="1"/>
                <w:color w:val="auto"/>
              </w:rPr>
              <w:t>CARLOS M. CARDOSO (Chair)</w:t>
            </w:r>
          </w:p>
        </w:tc>
        <w:tc>
          <w:tcPr>
            <w:tcW w:w="2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72"/>
        </w:trPr>
        <w:tc>
          <w:tcPr>
            <w:tcW w:w="3820" w:type="dxa"/>
            <w:vAlign w:val="bottom"/>
          </w:tcPr>
          <w:p>
            <w:pPr>
              <w:spacing w:after="0"/>
              <w:rPr>
                <w:sz w:val="20"/>
                <w:szCs w:val="20"/>
                <w:color w:val="auto"/>
              </w:rPr>
            </w:pPr>
            <w:r>
              <w:rPr>
                <w:rFonts w:ascii="Arial" w:cs="Arial" w:eastAsia="Arial" w:hAnsi="Arial"/>
                <w:sz w:val="16"/>
                <w:szCs w:val="16"/>
                <w:b w:val="1"/>
                <w:bCs w:val="1"/>
                <w:color w:val="auto"/>
              </w:rPr>
              <w:t>Members:</w:t>
            </w:r>
          </w:p>
        </w:tc>
        <w:tc>
          <w:tcPr>
            <w:tcW w:w="2400" w:type="dxa"/>
            <w:vAlign w:val="bottom"/>
          </w:tcPr>
          <w:p>
            <w:pPr>
              <w:jc w:val="right"/>
              <w:ind w:right="857"/>
              <w:spacing w:after="0"/>
              <w:rPr>
                <w:sz w:val="20"/>
                <w:szCs w:val="20"/>
                <w:color w:val="auto"/>
              </w:rPr>
            </w:pPr>
            <w:r>
              <w:rPr>
                <w:rFonts w:ascii="Arial" w:cs="Arial" w:eastAsia="Arial" w:hAnsi="Arial"/>
                <w:sz w:val="25"/>
                <w:szCs w:val="25"/>
                <w:b w:val="1"/>
                <w:bCs w:val="1"/>
                <w:color w:val="auto"/>
              </w:rPr>
              <w:t>4</w:t>
            </w:r>
          </w:p>
        </w:tc>
        <w:tc>
          <w:tcPr>
            <w:tcW w:w="1680" w:type="dxa"/>
            <w:vAlign w:val="bottom"/>
          </w:tcPr>
          <w:p>
            <w:pPr>
              <w:jc w:val="right"/>
              <w:ind w:right="457"/>
              <w:spacing w:after="0"/>
              <w:rPr>
                <w:sz w:val="20"/>
                <w:szCs w:val="20"/>
                <w:color w:val="auto"/>
              </w:rPr>
            </w:pPr>
            <w:r>
              <w:rPr>
                <w:rFonts w:ascii="Arial" w:cs="Arial" w:eastAsia="Arial" w:hAnsi="Arial"/>
                <w:sz w:val="25"/>
                <w:szCs w:val="25"/>
                <w:b w:val="1"/>
                <w:bCs w:val="1"/>
                <w:color w:val="auto"/>
              </w:rPr>
              <w:t>100%</w:t>
            </w:r>
          </w:p>
        </w:tc>
        <w:tc>
          <w:tcPr>
            <w:tcW w:w="1500" w:type="dxa"/>
            <w:vAlign w:val="bottom"/>
          </w:tcPr>
          <w:p>
            <w:pPr>
              <w:jc w:val="right"/>
              <w:ind w:right="197"/>
              <w:spacing w:after="0"/>
              <w:rPr>
                <w:sz w:val="20"/>
                <w:szCs w:val="20"/>
                <w:color w:val="auto"/>
              </w:rPr>
            </w:pPr>
            <w:r>
              <w:rPr>
                <w:rFonts w:ascii="Arial" w:cs="Arial" w:eastAsia="Arial" w:hAnsi="Arial"/>
                <w:sz w:val="25"/>
                <w:szCs w:val="25"/>
                <w:b w:val="1"/>
                <w:bCs w:val="1"/>
                <w:color w:val="FFFFFF"/>
              </w:rPr>
              <w:t>5 / 5</w:t>
            </w:r>
          </w:p>
        </w:tc>
      </w:tr>
      <w:tr>
        <w:trPr>
          <w:trHeight w:val="218"/>
        </w:trPr>
        <w:tc>
          <w:tcPr>
            <w:tcW w:w="3820" w:type="dxa"/>
            <w:vAlign w:val="bottom"/>
          </w:tcPr>
          <w:p>
            <w:pPr>
              <w:spacing w:after="0"/>
              <w:rPr>
                <w:sz w:val="20"/>
                <w:szCs w:val="20"/>
                <w:color w:val="auto"/>
              </w:rPr>
            </w:pPr>
            <w:r>
              <w:rPr>
                <w:rFonts w:ascii="Arial" w:cs="Arial" w:eastAsia="Arial" w:hAnsi="Arial"/>
                <w:sz w:val="25"/>
                <w:szCs w:val="25"/>
                <w:color w:val="auto"/>
                <w:vertAlign w:val="subscript"/>
              </w:rPr>
              <w:t>Edward H. Baine</w:t>
            </w:r>
            <w:r>
              <w:rPr>
                <w:rFonts w:ascii="Arial" w:cs="Arial" w:eastAsia="Arial" w:hAnsi="Arial"/>
                <w:sz w:val="21"/>
                <w:szCs w:val="21"/>
                <w:color w:val="auto"/>
                <w:vertAlign w:val="superscript"/>
              </w:rPr>
              <w:t>(2)</w:t>
            </w:r>
            <w:r>
              <w:rPr>
                <w:rFonts w:ascii="Arial" w:cs="Arial" w:eastAsia="Arial" w:hAnsi="Arial"/>
                <w:sz w:val="16"/>
                <w:szCs w:val="16"/>
                <w:color w:val="auto"/>
              </w:rPr>
              <w:t>Jennifer M. Pollino</w:t>
            </w:r>
          </w:p>
        </w:tc>
        <w:tc>
          <w:tcPr>
            <w:tcW w:w="2400" w:type="dxa"/>
            <w:vAlign w:val="bottom"/>
          </w:tcPr>
          <w:p>
            <w:pPr>
              <w:jc w:val="center"/>
              <w:ind w:left="257"/>
              <w:spacing w:after="0"/>
              <w:rPr>
                <w:sz w:val="20"/>
                <w:szCs w:val="20"/>
                <w:color w:val="auto"/>
              </w:rPr>
            </w:pPr>
            <w:r>
              <w:rPr>
                <w:rFonts w:ascii="Arial" w:cs="Arial" w:eastAsia="Arial" w:hAnsi="Arial"/>
                <w:sz w:val="16"/>
                <w:szCs w:val="16"/>
                <w:color w:val="auto"/>
              </w:rPr>
              <w:t>Meetings in 2025</w:t>
            </w:r>
          </w:p>
        </w:tc>
        <w:tc>
          <w:tcPr>
            <w:tcW w:w="1680" w:type="dxa"/>
            <w:vAlign w:val="bottom"/>
          </w:tcPr>
          <w:p>
            <w:pPr>
              <w:jc w:val="center"/>
              <w:spacing w:after="0"/>
              <w:rPr>
                <w:sz w:val="20"/>
                <w:szCs w:val="20"/>
                <w:color w:val="auto"/>
              </w:rPr>
            </w:pPr>
            <w:r>
              <w:rPr>
                <w:rFonts w:ascii="Arial" w:cs="Arial" w:eastAsia="Arial" w:hAnsi="Arial"/>
                <w:sz w:val="16"/>
                <w:szCs w:val="16"/>
                <w:color w:val="auto"/>
              </w:rPr>
              <w:t>Attendance</w:t>
            </w:r>
          </w:p>
        </w:tc>
        <w:tc>
          <w:tcPr>
            <w:tcW w:w="1500" w:type="dxa"/>
            <w:vAlign w:val="bottom"/>
          </w:tcPr>
          <w:p>
            <w:pPr>
              <w:jc w:val="center"/>
              <w:ind w:left="357"/>
              <w:spacing w:after="0"/>
              <w:rPr>
                <w:sz w:val="20"/>
                <w:szCs w:val="20"/>
                <w:color w:val="auto"/>
              </w:rPr>
            </w:pPr>
            <w:r>
              <w:rPr>
                <w:rFonts w:ascii="Arial" w:cs="Arial" w:eastAsia="Arial" w:hAnsi="Arial"/>
                <w:sz w:val="16"/>
                <w:szCs w:val="16"/>
                <w:color w:val="FFFFFF"/>
              </w:rPr>
              <w:t>Independence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-506095</wp:posOffset>
            </wp:positionV>
            <wp:extent cx="3514725" cy="8229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51472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71525" cy="7715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6"/>
          <w:szCs w:val="16"/>
          <w:color w:val="auto"/>
        </w:rPr>
        <w:t>Anthony J. Guzzi</w:t>
      </w:r>
    </w:p>
    <w:p>
      <w:pPr>
        <w:spacing w:after="0" w:line="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Neal J.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45085</wp:posOffset>
            </wp:positionV>
            <wp:extent cx="2726055" cy="342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2726055" cy="342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Oversight Responsibilities</w:t>
      </w:r>
    </w:p>
    <w:p>
      <w:pPr>
        <w:spacing w:after="0" w:line="203"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6"/>
          <w:szCs w:val="16"/>
          <w:color w:val="2F8B9E"/>
        </w:rPr>
      </w:pPr>
      <w:r>
        <w:rPr>
          <w:rFonts w:ascii="Arial" w:cs="Arial" w:eastAsia="Arial" w:hAnsi="Arial"/>
          <w:sz w:val="16"/>
          <w:szCs w:val="16"/>
          <w:color w:val="auto"/>
        </w:rPr>
        <w:t>Determines and oversees the Company’s execution of its compensation programs and employee benefit plans.</w:t>
      </w:r>
    </w:p>
    <w:p>
      <w:pPr>
        <w:spacing w:after="0" w:line="86" w:lineRule="exact"/>
        <w:rPr>
          <w:rFonts w:ascii="Arial" w:cs="Arial" w:eastAsia="Arial" w:hAnsi="Arial"/>
          <w:sz w:val="16"/>
          <w:szCs w:val="16"/>
          <w:color w:val="2F8B9E"/>
        </w:rPr>
      </w:pPr>
    </w:p>
    <w:p>
      <w:pPr>
        <w:ind w:left="180" w:right="600" w:hanging="172"/>
        <w:spacing w:after="0" w:line="286" w:lineRule="auto"/>
        <w:tabs>
          <w:tab w:leader="none" w:pos="180" w:val="left"/>
        </w:tabs>
        <w:numPr>
          <w:ilvl w:val="0"/>
          <w:numId w:val="30"/>
        </w:numPr>
        <w:rPr>
          <w:rFonts w:ascii="Arial" w:cs="Arial" w:eastAsia="Arial" w:hAnsi="Arial"/>
          <w:sz w:val="16"/>
          <w:szCs w:val="16"/>
          <w:color w:val="2F8B9E"/>
        </w:rPr>
      </w:pPr>
      <w:r>
        <w:rPr>
          <w:rFonts w:ascii="Arial" w:cs="Arial" w:eastAsia="Arial" w:hAnsi="Arial"/>
          <w:sz w:val="16"/>
          <w:szCs w:val="16"/>
          <w:color w:val="auto"/>
        </w:rPr>
        <w:t>Reviews and approves all compensation of the CEO and other officers of the Company, with input from the independent compensation consultant, Exequity LLP.</w:t>
      </w:r>
    </w:p>
    <w:p>
      <w:pPr>
        <w:spacing w:after="0" w:line="20" w:lineRule="exact"/>
        <w:rPr>
          <w:rFonts w:ascii="Arial" w:cs="Arial" w:eastAsia="Arial" w:hAnsi="Arial"/>
          <w:sz w:val="16"/>
          <w:szCs w:val="16"/>
          <w:color w:val="2F8B9E"/>
        </w:rPr>
      </w:pPr>
    </w:p>
    <w:p>
      <w:pPr>
        <w:ind w:left="180" w:hanging="172"/>
        <w:spacing w:after="0"/>
        <w:tabs>
          <w:tab w:leader="none" w:pos="180" w:val="left"/>
        </w:tabs>
        <w:numPr>
          <w:ilvl w:val="0"/>
          <w:numId w:val="30"/>
        </w:numPr>
        <w:rPr>
          <w:rFonts w:ascii="Arial" w:cs="Arial" w:eastAsia="Arial" w:hAnsi="Arial"/>
          <w:sz w:val="16"/>
          <w:szCs w:val="16"/>
          <w:color w:val="2F8B9E"/>
        </w:rPr>
      </w:pPr>
      <w:r>
        <w:rPr>
          <w:rFonts w:ascii="Arial" w:cs="Arial" w:eastAsia="Arial" w:hAnsi="Arial"/>
          <w:sz w:val="16"/>
          <w:szCs w:val="16"/>
          <w:color w:val="auto"/>
        </w:rPr>
        <w:t>Appoints the independent compensation consultant and evaluates its independence and performance annually.</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0"/>
        </w:numPr>
        <w:rPr>
          <w:rFonts w:ascii="Arial" w:cs="Arial" w:eastAsia="Arial" w:hAnsi="Arial"/>
          <w:sz w:val="16"/>
          <w:szCs w:val="16"/>
          <w:color w:val="2F8B9E"/>
        </w:rPr>
      </w:pPr>
      <w:r>
        <w:rPr>
          <w:rFonts w:ascii="Arial" w:cs="Arial" w:eastAsia="Arial" w:hAnsi="Arial"/>
          <w:sz w:val="16"/>
          <w:szCs w:val="16"/>
          <w:color w:val="auto"/>
        </w:rPr>
        <w:t>Determines stock ownership and retention guidelines for the CEO and other officers of the Company.</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0"/>
        </w:numPr>
        <w:rPr>
          <w:rFonts w:ascii="Arial" w:cs="Arial" w:eastAsia="Arial" w:hAnsi="Arial"/>
          <w:sz w:val="16"/>
          <w:szCs w:val="16"/>
          <w:color w:val="2F8B9E"/>
        </w:rPr>
      </w:pPr>
      <w:r>
        <w:rPr>
          <w:rFonts w:ascii="Arial" w:cs="Arial" w:eastAsia="Arial" w:hAnsi="Arial"/>
          <w:sz w:val="16"/>
          <w:szCs w:val="16"/>
          <w:color w:val="auto"/>
        </w:rPr>
        <w:t>Reviews and approves of the Company’s compensation peer group.</w:t>
      </w:r>
    </w:p>
    <w:p>
      <w:pPr>
        <w:spacing w:after="0" w:line="11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Mr. Baine became a member of the Compensation Committee when he was appointed to the Board on August 29, 2025.</w:t>
      </w:r>
    </w:p>
    <w:p>
      <w:pPr>
        <w:spacing w:after="0" w:line="156"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26</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Executive Committee</w:t>
      </w:r>
    </w:p>
    <w:p>
      <w:pPr>
        <w:spacing w:after="0" w:line="207"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3740" w:type="dxa"/>
            <w:vAlign w:val="bottom"/>
            <w:gridSpan w:val="2"/>
          </w:tcPr>
          <w:p>
            <w:pPr>
              <w:spacing w:after="0"/>
              <w:rPr>
                <w:sz w:val="20"/>
                <w:szCs w:val="20"/>
                <w:color w:val="auto"/>
              </w:rPr>
            </w:pPr>
            <w:r>
              <w:rPr>
                <w:rFonts w:ascii="Arial" w:cs="Arial" w:eastAsia="Arial" w:hAnsi="Arial"/>
                <w:sz w:val="16"/>
                <w:szCs w:val="16"/>
                <w:b w:val="1"/>
                <w:bCs w:val="1"/>
                <w:color w:val="auto"/>
              </w:rPr>
              <w:t>GERBEN W. BAKKER (Chair)</w:t>
            </w:r>
          </w:p>
        </w:tc>
        <w:tc>
          <w:tcPr>
            <w:tcW w:w="3280" w:type="dxa"/>
            <w:vAlign w:val="bottom"/>
          </w:tcPr>
          <w:p>
            <w:pPr>
              <w:spacing w:after="0"/>
              <w:rPr>
                <w:sz w:val="19"/>
                <w:szCs w:val="19"/>
                <w:color w:val="auto"/>
              </w:rPr>
            </w:pPr>
          </w:p>
        </w:tc>
        <w:tc>
          <w:tcPr>
            <w:tcW w:w="2360" w:type="dxa"/>
            <w:vAlign w:val="bottom"/>
          </w:tcPr>
          <w:p>
            <w:pPr>
              <w:spacing w:after="0"/>
              <w:rPr>
                <w:sz w:val="19"/>
                <w:szCs w:val="19"/>
                <w:color w:val="auto"/>
              </w:rPr>
            </w:pPr>
          </w:p>
        </w:tc>
      </w:tr>
      <w:tr>
        <w:trPr>
          <w:trHeight w:val="360"/>
        </w:trPr>
        <w:tc>
          <w:tcPr>
            <w:tcW w:w="1540" w:type="dxa"/>
            <w:vAlign w:val="bottom"/>
          </w:tcPr>
          <w:p>
            <w:pPr>
              <w:spacing w:after="0"/>
              <w:rPr>
                <w:sz w:val="20"/>
                <w:szCs w:val="20"/>
                <w:color w:val="auto"/>
              </w:rPr>
            </w:pPr>
            <w:r>
              <w:rPr>
                <w:rFonts w:ascii="Arial" w:cs="Arial" w:eastAsia="Arial" w:hAnsi="Arial"/>
                <w:sz w:val="16"/>
                <w:szCs w:val="16"/>
                <w:b w:val="1"/>
                <w:bCs w:val="1"/>
                <w:color w:val="auto"/>
              </w:rPr>
              <w:t>Members:</w:t>
            </w:r>
          </w:p>
        </w:tc>
        <w:tc>
          <w:tcPr>
            <w:tcW w:w="2200" w:type="dxa"/>
            <w:vAlign w:val="bottom"/>
          </w:tcPr>
          <w:p>
            <w:pPr>
              <w:spacing w:after="0"/>
              <w:rPr>
                <w:sz w:val="24"/>
                <w:szCs w:val="24"/>
                <w:color w:val="auto"/>
              </w:rPr>
            </w:pPr>
          </w:p>
        </w:tc>
        <w:tc>
          <w:tcPr>
            <w:tcW w:w="3280" w:type="dxa"/>
            <w:vAlign w:val="bottom"/>
          </w:tcPr>
          <w:p>
            <w:pPr>
              <w:jc w:val="center"/>
              <w:ind w:right="259"/>
              <w:spacing w:after="0"/>
              <w:rPr>
                <w:sz w:val="20"/>
                <w:szCs w:val="20"/>
                <w:color w:val="auto"/>
              </w:rPr>
            </w:pPr>
            <w:r>
              <w:rPr>
                <w:rFonts w:ascii="Arial" w:cs="Arial" w:eastAsia="Arial" w:hAnsi="Arial"/>
                <w:sz w:val="16"/>
                <w:szCs w:val="16"/>
                <w:b w:val="1"/>
                <w:bCs w:val="1"/>
                <w:color w:val="auto"/>
              </w:rPr>
              <w:t>Did not meet</w:t>
            </w:r>
          </w:p>
        </w:tc>
        <w:tc>
          <w:tcPr>
            <w:tcW w:w="2360" w:type="dxa"/>
            <w:vAlign w:val="bottom"/>
          </w:tcPr>
          <w:p>
            <w:pPr>
              <w:jc w:val="right"/>
              <w:ind w:right="177"/>
              <w:spacing w:after="0"/>
              <w:rPr>
                <w:sz w:val="20"/>
                <w:szCs w:val="20"/>
                <w:color w:val="auto"/>
              </w:rPr>
            </w:pPr>
            <w:r>
              <w:rPr>
                <w:rFonts w:ascii="Arial" w:cs="Arial" w:eastAsia="Arial" w:hAnsi="Arial"/>
                <w:sz w:val="25"/>
                <w:szCs w:val="25"/>
                <w:b w:val="1"/>
                <w:bCs w:val="1"/>
                <w:color w:val="FFFFFF"/>
              </w:rPr>
              <w:t>5 / 6</w:t>
            </w:r>
          </w:p>
        </w:tc>
      </w:tr>
      <w:tr>
        <w:trPr>
          <w:trHeight w:val="228"/>
        </w:trPr>
        <w:tc>
          <w:tcPr>
            <w:tcW w:w="1540" w:type="dxa"/>
            <w:vAlign w:val="bottom"/>
          </w:tcPr>
          <w:p>
            <w:pPr>
              <w:spacing w:after="0"/>
              <w:rPr>
                <w:sz w:val="20"/>
                <w:szCs w:val="20"/>
                <w:color w:val="auto"/>
              </w:rPr>
            </w:pPr>
            <w:r>
              <w:rPr>
                <w:rFonts w:ascii="Arial" w:cs="Arial" w:eastAsia="Arial" w:hAnsi="Arial"/>
                <w:sz w:val="16"/>
                <w:szCs w:val="16"/>
                <w:color w:val="auto"/>
              </w:rPr>
              <w:t>Carlos M. Cardoso</w:t>
            </w:r>
          </w:p>
        </w:tc>
        <w:tc>
          <w:tcPr>
            <w:tcW w:w="2200" w:type="dxa"/>
            <w:vAlign w:val="bottom"/>
          </w:tcPr>
          <w:p>
            <w:pPr>
              <w:ind w:left="180"/>
              <w:spacing w:after="0"/>
              <w:rPr>
                <w:sz w:val="20"/>
                <w:szCs w:val="20"/>
                <w:color w:val="auto"/>
              </w:rPr>
            </w:pPr>
            <w:r>
              <w:rPr>
                <w:rFonts w:ascii="Arial" w:cs="Arial" w:eastAsia="Arial" w:hAnsi="Arial"/>
                <w:sz w:val="16"/>
                <w:szCs w:val="16"/>
                <w:color w:val="auto"/>
              </w:rPr>
              <w:t>Bonnie C. Lind</w:t>
            </w:r>
          </w:p>
        </w:tc>
        <w:tc>
          <w:tcPr>
            <w:tcW w:w="3280" w:type="dxa"/>
            <w:vAlign w:val="bottom"/>
          </w:tcPr>
          <w:p>
            <w:pPr>
              <w:jc w:val="center"/>
              <w:ind w:right="239"/>
              <w:spacing w:after="0"/>
              <w:rPr>
                <w:sz w:val="20"/>
                <w:szCs w:val="20"/>
                <w:color w:val="auto"/>
              </w:rPr>
            </w:pPr>
            <w:r>
              <w:rPr>
                <w:rFonts w:ascii="Arial" w:cs="Arial" w:eastAsia="Arial" w:hAnsi="Arial"/>
                <w:sz w:val="16"/>
                <w:szCs w:val="16"/>
                <w:b w:val="1"/>
                <w:bCs w:val="1"/>
                <w:color w:val="auto"/>
              </w:rPr>
              <w:t>in 2025</w:t>
            </w:r>
          </w:p>
        </w:tc>
        <w:tc>
          <w:tcPr>
            <w:tcW w:w="2360" w:type="dxa"/>
            <w:vAlign w:val="bottom"/>
          </w:tcPr>
          <w:p>
            <w:pPr>
              <w:jc w:val="center"/>
              <w:ind w:left="1237"/>
              <w:spacing w:after="0"/>
              <w:rPr>
                <w:sz w:val="20"/>
                <w:szCs w:val="20"/>
                <w:color w:val="auto"/>
              </w:rPr>
            </w:pPr>
            <w:r>
              <w:rPr>
                <w:rFonts w:ascii="Arial" w:cs="Arial" w:eastAsia="Arial" w:hAnsi="Arial"/>
                <w:sz w:val="16"/>
                <w:szCs w:val="16"/>
                <w:color w:val="FFFFFF"/>
              </w:rPr>
              <w:t>Independence</w:t>
            </w:r>
          </w:p>
        </w:tc>
      </w:tr>
      <w:tr>
        <w:trPr>
          <w:trHeight w:val="150"/>
        </w:trPr>
        <w:tc>
          <w:tcPr>
            <w:tcW w:w="1540" w:type="dxa"/>
            <w:vAlign w:val="bottom"/>
          </w:tcPr>
          <w:p>
            <w:pPr>
              <w:spacing w:after="0" w:line="151" w:lineRule="exact"/>
              <w:rPr>
                <w:sz w:val="20"/>
                <w:szCs w:val="20"/>
                <w:color w:val="auto"/>
              </w:rPr>
            </w:pPr>
            <w:r>
              <w:rPr>
                <w:rFonts w:ascii="Arial" w:cs="Arial" w:eastAsia="Arial" w:hAnsi="Arial"/>
                <w:sz w:val="16"/>
                <w:szCs w:val="16"/>
                <w:color w:val="auto"/>
              </w:rPr>
              <w:t>Anthony J. Guzzi</w:t>
            </w:r>
          </w:p>
        </w:tc>
        <w:tc>
          <w:tcPr>
            <w:tcW w:w="2200" w:type="dxa"/>
            <w:vAlign w:val="bottom"/>
          </w:tcPr>
          <w:p>
            <w:pPr>
              <w:ind w:left="180"/>
              <w:spacing w:after="0" w:line="151" w:lineRule="exact"/>
              <w:rPr>
                <w:sz w:val="20"/>
                <w:szCs w:val="20"/>
                <w:color w:val="auto"/>
              </w:rPr>
            </w:pPr>
            <w:r>
              <w:rPr>
                <w:rFonts w:ascii="Arial" w:cs="Arial" w:eastAsia="Arial" w:hAnsi="Arial"/>
                <w:sz w:val="16"/>
                <w:szCs w:val="16"/>
                <w:color w:val="auto"/>
              </w:rPr>
              <w:t>John F. Malloy</w:t>
            </w:r>
          </w:p>
        </w:tc>
        <w:tc>
          <w:tcPr>
            <w:tcW w:w="3280" w:type="dxa"/>
            <w:vAlign w:val="bottom"/>
          </w:tcPr>
          <w:p>
            <w:pPr>
              <w:spacing w:after="0"/>
              <w:rPr>
                <w:sz w:val="13"/>
                <w:szCs w:val="13"/>
                <w:color w:val="auto"/>
              </w:rPr>
            </w:pPr>
          </w:p>
        </w:tc>
        <w:tc>
          <w:tcPr>
            <w:tcW w:w="236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-600710</wp:posOffset>
            </wp:positionV>
            <wp:extent cx="3497580" cy="82296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97580"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71525" cy="77152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6"/>
          <w:szCs w:val="16"/>
          <w:color w:val="auto"/>
        </w:rPr>
        <w:t>Neal J. Keating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70485</wp:posOffset>
            </wp:positionV>
            <wp:extent cx="2743200" cy="342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743200" cy="3429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Oversight Responsibilities</w:t>
      </w:r>
    </w:p>
    <w:p>
      <w:pPr>
        <w:spacing w:after="0" w:line="203" w:lineRule="exact"/>
        <w:rPr>
          <w:sz w:val="20"/>
          <w:szCs w:val="20"/>
          <w:color w:val="auto"/>
        </w:rPr>
      </w:pPr>
    </w:p>
    <w:p>
      <w:pPr>
        <w:ind w:left="180" w:right="20" w:hanging="172"/>
        <w:spacing w:after="0" w:line="286" w:lineRule="auto"/>
        <w:tabs>
          <w:tab w:leader="none" w:pos="180" w:val="left"/>
        </w:tabs>
        <w:numPr>
          <w:ilvl w:val="0"/>
          <w:numId w:val="32"/>
        </w:numPr>
        <w:rPr>
          <w:rFonts w:ascii="Arial" w:cs="Arial" w:eastAsia="Arial" w:hAnsi="Arial"/>
          <w:sz w:val="16"/>
          <w:szCs w:val="16"/>
          <w:color w:val="2F8B9E"/>
        </w:rPr>
      </w:pPr>
      <w:r>
        <w:rPr>
          <w:rFonts w:ascii="Arial" w:cs="Arial" w:eastAsia="Arial" w:hAnsi="Arial"/>
          <w:sz w:val="16"/>
          <w:szCs w:val="16"/>
          <w:color w:val="auto"/>
        </w:rPr>
        <w:t>The Executive Committee may meet during intervals between meetings of the Board of Directors and may exercise all the powers of the Board of Directors in the management of the business and affairs of the Company, except certain powers set forth in the By-Laws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Finance Committee</w:t>
      </w:r>
    </w:p>
    <w:p>
      <w:pPr>
        <w:spacing w:after="0" w:line="207"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3840" w:type="dxa"/>
            <w:vAlign w:val="bottom"/>
            <w:gridSpan w:val="2"/>
          </w:tcPr>
          <w:p>
            <w:pPr>
              <w:spacing w:after="0"/>
              <w:rPr>
                <w:sz w:val="20"/>
                <w:szCs w:val="20"/>
                <w:color w:val="auto"/>
              </w:rPr>
            </w:pPr>
            <w:r>
              <w:rPr>
                <w:rFonts w:ascii="Arial" w:cs="Arial" w:eastAsia="Arial" w:hAnsi="Arial"/>
                <w:sz w:val="16"/>
                <w:szCs w:val="16"/>
                <w:b w:val="1"/>
                <w:bCs w:val="1"/>
                <w:color w:val="auto"/>
              </w:rPr>
              <w:t>JOHN F. MALLOY (Chair)</w:t>
            </w:r>
          </w:p>
        </w:tc>
        <w:tc>
          <w:tcPr>
            <w:tcW w:w="2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540" w:type="dxa"/>
            <w:vAlign w:val="bottom"/>
          </w:tcPr>
          <w:p>
            <w:pPr>
              <w:spacing w:after="0"/>
              <w:rPr>
                <w:sz w:val="20"/>
                <w:szCs w:val="20"/>
                <w:color w:val="auto"/>
              </w:rPr>
            </w:pPr>
            <w:r>
              <w:rPr>
                <w:rFonts w:ascii="Arial" w:cs="Arial" w:eastAsia="Arial" w:hAnsi="Arial"/>
                <w:sz w:val="16"/>
                <w:szCs w:val="16"/>
                <w:b w:val="1"/>
                <w:bCs w:val="1"/>
                <w:color w:val="auto"/>
              </w:rPr>
              <w:t>Members:</w:t>
            </w:r>
          </w:p>
        </w:tc>
        <w:tc>
          <w:tcPr>
            <w:tcW w:w="2300" w:type="dxa"/>
            <w:vAlign w:val="bottom"/>
            <w:vMerge w:val="restart"/>
          </w:tcPr>
          <w:p>
            <w:pPr>
              <w:ind w:left="160"/>
              <w:spacing w:after="0"/>
              <w:rPr>
                <w:sz w:val="20"/>
                <w:szCs w:val="20"/>
                <w:color w:val="auto"/>
              </w:rPr>
            </w:pPr>
            <w:r>
              <w:rPr>
                <w:rFonts w:ascii="Arial" w:cs="Arial" w:eastAsia="Arial" w:hAnsi="Arial"/>
                <w:sz w:val="16"/>
                <w:szCs w:val="16"/>
                <w:color w:val="auto"/>
              </w:rPr>
              <w:t>Rhett A. Hernandez</w:t>
            </w:r>
          </w:p>
        </w:tc>
        <w:tc>
          <w:tcPr>
            <w:tcW w:w="2340" w:type="dxa"/>
            <w:vAlign w:val="bottom"/>
          </w:tcPr>
          <w:p>
            <w:pPr>
              <w:jc w:val="right"/>
              <w:ind w:right="837"/>
              <w:spacing w:after="0"/>
              <w:rPr>
                <w:sz w:val="20"/>
                <w:szCs w:val="20"/>
                <w:color w:val="auto"/>
              </w:rPr>
            </w:pPr>
            <w:r>
              <w:rPr>
                <w:rFonts w:ascii="Arial" w:cs="Arial" w:eastAsia="Arial" w:hAnsi="Arial"/>
                <w:sz w:val="25"/>
                <w:szCs w:val="25"/>
                <w:b w:val="1"/>
                <w:bCs w:val="1"/>
                <w:color w:val="auto"/>
              </w:rPr>
              <w:t>8</w:t>
            </w:r>
          </w:p>
        </w:tc>
        <w:tc>
          <w:tcPr>
            <w:tcW w:w="1700" w:type="dxa"/>
            <w:vAlign w:val="bottom"/>
          </w:tcPr>
          <w:p>
            <w:pPr>
              <w:jc w:val="right"/>
              <w:ind w:right="457"/>
              <w:spacing w:after="0"/>
              <w:rPr>
                <w:sz w:val="20"/>
                <w:szCs w:val="20"/>
                <w:color w:val="auto"/>
              </w:rPr>
            </w:pPr>
            <w:r>
              <w:rPr>
                <w:rFonts w:ascii="Arial" w:cs="Arial" w:eastAsia="Arial" w:hAnsi="Arial"/>
                <w:sz w:val="25"/>
                <w:szCs w:val="25"/>
                <w:b w:val="1"/>
                <w:bCs w:val="1"/>
                <w:color w:val="auto"/>
              </w:rPr>
              <w:t>100%</w:t>
            </w:r>
          </w:p>
        </w:tc>
        <w:tc>
          <w:tcPr>
            <w:tcW w:w="1500" w:type="dxa"/>
            <w:vAlign w:val="bottom"/>
          </w:tcPr>
          <w:p>
            <w:pPr>
              <w:jc w:val="right"/>
              <w:ind w:right="177"/>
              <w:spacing w:after="0"/>
              <w:rPr>
                <w:sz w:val="20"/>
                <w:szCs w:val="20"/>
                <w:color w:val="auto"/>
              </w:rPr>
            </w:pPr>
            <w:r>
              <w:rPr>
                <w:rFonts w:ascii="Arial" w:cs="Arial" w:eastAsia="Arial" w:hAnsi="Arial"/>
                <w:sz w:val="25"/>
                <w:szCs w:val="25"/>
                <w:b w:val="1"/>
                <w:bCs w:val="1"/>
                <w:color w:val="FFFFFF"/>
              </w:rPr>
              <w:t>6 / 6</w:t>
            </w:r>
          </w:p>
        </w:tc>
        <w:tc>
          <w:tcPr>
            <w:tcW w:w="0" w:type="dxa"/>
            <w:vAlign w:val="bottom"/>
          </w:tcPr>
          <w:p>
            <w:pPr>
              <w:spacing w:after="0"/>
              <w:rPr>
                <w:sz w:val="1"/>
                <w:szCs w:val="1"/>
                <w:color w:val="auto"/>
              </w:rPr>
            </w:pPr>
          </w:p>
        </w:tc>
      </w:tr>
      <w:tr>
        <w:trPr>
          <w:trHeight w:val="216"/>
        </w:trPr>
        <w:tc>
          <w:tcPr>
            <w:tcW w:w="1540" w:type="dxa"/>
            <w:vAlign w:val="bottom"/>
          </w:tcPr>
          <w:p>
            <w:pPr>
              <w:spacing w:after="0" w:line="216" w:lineRule="exact"/>
              <w:rPr>
                <w:sz w:val="20"/>
                <w:szCs w:val="20"/>
                <w:color w:val="auto"/>
              </w:rPr>
            </w:pPr>
            <w:r>
              <w:rPr>
                <w:rFonts w:ascii="Arial" w:cs="Arial" w:eastAsia="Arial" w:hAnsi="Arial"/>
                <w:sz w:val="16"/>
                <w:szCs w:val="16"/>
                <w:color w:val="auto"/>
              </w:rPr>
              <w:t>Edward H. Baine</w:t>
            </w:r>
            <w:r>
              <w:rPr>
                <w:rFonts w:ascii="Arial" w:cs="Arial" w:eastAsia="Arial" w:hAnsi="Arial"/>
                <w:sz w:val="25"/>
                <w:szCs w:val="25"/>
                <w:color w:val="auto"/>
                <w:vertAlign w:val="superscript"/>
              </w:rPr>
              <w:t>(1)</w:t>
            </w:r>
          </w:p>
        </w:tc>
        <w:tc>
          <w:tcPr>
            <w:tcW w:w="2300" w:type="dxa"/>
            <w:vAlign w:val="bottom"/>
            <w:vMerge w:val="continue"/>
          </w:tcPr>
          <w:p>
            <w:pPr>
              <w:spacing w:after="0"/>
              <w:rPr>
                <w:sz w:val="18"/>
                <w:szCs w:val="18"/>
                <w:color w:val="auto"/>
              </w:rPr>
            </w:pPr>
          </w:p>
        </w:tc>
        <w:tc>
          <w:tcPr>
            <w:tcW w:w="2340" w:type="dxa"/>
            <w:vAlign w:val="bottom"/>
          </w:tcPr>
          <w:p>
            <w:pPr>
              <w:jc w:val="center"/>
              <w:ind w:left="197"/>
              <w:spacing w:after="0"/>
              <w:rPr>
                <w:sz w:val="20"/>
                <w:szCs w:val="20"/>
                <w:color w:val="auto"/>
              </w:rPr>
            </w:pPr>
            <w:r>
              <w:rPr>
                <w:rFonts w:ascii="Arial" w:cs="Arial" w:eastAsia="Arial" w:hAnsi="Arial"/>
                <w:sz w:val="16"/>
                <w:szCs w:val="16"/>
                <w:color w:val="auto"/>
              </w:rPr>
              <w:t>Meetings in 2025</w:t>
            </w:r>
          </w:p>
        </w:tc>
        <w:tc>
          <w:tcPr>
            <w:tcW w:w="1700" w:type="dxa"/>
            <w:vAlign w:val="bottom"/>
          </w:tcPr>
          <w:p>
            <w:pPr>
              <w:jc w:val="center"/>
              <w:spacing w:after="0"/>
              <w:rPr>
                <w:sz w:val="20"/>
                <w:szCs w:val="20"/>
                <w:color w:val="auto"/>
              </w:rPr>
            </w:pPr>
            <w:r>
              <w:rPr>
                <w:rFonts w:ascii="Arial" w:cs="Arial" w:eastAsia="Arial" w:hAnsi="Arial"/>
                <w:sz w:val="16"/>
                <w:szCs w:val="16"/>
                <w:color w:val="auto"/>
              </w:rPr>
              <w:t>Attendance</w:t>
            </w:r>
          </w:p>
        </w:tc>
        <w:tc>
          <w:tcPr>
            <w:tcW w:w="1500" w:type="dxa"/>
            <w:vAlign w:val="bottom"/>
          </w:tcPr>
          <w:p>
            <w:pPr>
              <w:jc w:val="center"/>
              <w:ind w:left="377"/>
              <w:spacing w:after="0"/>
              <w:rPr>
                <w:sz w:val="20"/>
                <w:szCs w:val="20"/>
                <w:color w:val="auto"/>
              </w:rPr>
            </w:pPr>
            <w:r>
              <w:rPr>
                <w:rFonts w:ascii="Arial" w:cs="Arial" w:eastAsia="Arial" w:hAnsi="Arial"/>
                <w:sz w:val="16"/>
                <w:szCs w:val="16"/>
                <w:color w:val="FFFFFF"/>
              </w:rPr>
              <w:t>Independence</w:t>
            </w:r>
          </w:p>
        </w:tc>
        <w:tc>
          <w:tcPr>
            <w:tcW w:w="0" w:type="dxa"/>
            <w:vAlign w:val="bottom"/>
          </w:tcPr>
          <w:p>
            <w:pPr>
              <w:spacing w:after="0"/>
              <w:rPr>
                <w:sz w:val="1"/>
                <w:szCs w:val="1"/>
                <w:color w:val="auto"/>
              </w:rPr>
            </w:pPr>
          </w:p>
        </w:tc>
      </w:tr>
      <w:tr>
        <w:trPr>
          <w:trHeight w:val="191"/>
        </w:trPr>
        <w:tc>
          <w:tcPr>
            <w:tcW w:w="1540" w:type="dxa"/>
            <w:vAlign w:val="bottom"/>
          </w:tcPr>
          <w:p>
            <w:pPr>
              <w:spacing w:after="0"/>
              <w:rPr>
                <w:sz w:val="20"/>
                <w:szCs w:val="20"/>
                <w:color w:val="auto"/>
              </w:rPr>
            </w:pPr>
            <w:r>
              <w:rPr>
                <w:rFonts w:ascii="Arial" w:cs="Arial" w:eastAsia="Arial" w:hAnsi="Arial"/>
                <w:sz w:val="16"/>
                <w:szCs w:val="16"/>
                <w:color w:val="auto"/>
              </w:rPr>
              <w:t>Debra L. Dial</w:t>
            </w:r>
          </w:p>
        </w:tc>
        <w:tc>
          <w:tcPr>
            <w:tcW w:w="2300" w:type="dxa"/>
            <w:vAlign w:val="bottom"/>
          </w:tcPr>
          <w:p>
            <w:pPr>
              <w:ind w:left="160"/>
              <w:spacing w:after="0"/>
              <w:rPr>
                <w:sz w:val="20"/>
                <w:szCs w:val="20"/>
                <w:color w:val="auto"/>
              </w:rPr>
            </w:pPr>
            <w:r>
              <w:rPr>
                <w:rFonts w:ascii="Arial" w:cs="Arial" w:eastAsia="Arial" w:hAnsi="Arial"/>
                <w:sz w:val="16"/>
                <w:szCs w:val="16"/>
                <w:color w:val="auto"/>
              </w:rPr>
              <w:t>Garrick J. Rochow</w:t>
            </w:r>
          </w:p>
        </w:tc>
        <w:tc>
          <w:tcPr>
            <w:tcW w:w="2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-626110</wp:posOffset>
            </wp:positionV>
            <wp:extent cx="3540125" cy="8229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54012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71525" cy="77978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1525" cy="77978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6"/>
          <w:szCs w:val="16"/>
          <w:color w:val="auto"/>
        </w:rPr>
        <w:t>Anthony J. Guzzi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45085</wp:posOffset>
            </wp:positionV>
            <wp:extent cx="2700020" cy="342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700020" cy="342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Oversight Responsibilities</w:t>
      </w:r>
    </w:p>
    <w:p>
      <w:pPr>
        <w:spacing w:after="0" w:line="208" w:lineRule="exact"/>
        <w:rPr>
          <w:sz w:val="20"/>
          <w:szCs w:val="20"/>
          <w:color w:val="auto"/>
        </w:rPr>
      </w:pPr>
    </w:p>
    <w:p>
      <w:pPr>
        <w:ind w:left="180" w:right="20" w:hanging="172"/>
        <w:spacing w:after="0" w:line="285" w:lineRule="auto"/>
        <w:tabs>
          <w:tab w:leader="none" w:pos="180" w:val="left"/>
        </w:tabs>
        <w:numPr>
          <w:ilvl w:val="0"/>
          <w:numId w:val="33"/>
        </w:numPr>
        <w:rPr>
          <w:rFonts w:ascii="Arial" w:cs="Arial" w:eastAsia="Arial" w:hAnsi="Arial"/>
          <w:sz w:val="14"/>
          <w:szCs w:val="14"/>
          <w:color w:val="2F8B9E"/>
        </w:rPr>
      </w:pPr>
      <w:r>
        <w:rPr>
          <w:rFonts w:ascii="Arial" w:cs="Arial" w:eastAsia="Arial" w:hAnsi="Arial"/>
          <w:sz w:val="14"/>
          <w:szCs w:val="14"/>
          <w:color w:val="auto"/>
        </w:rPr>
        <w:t>Oversees the Company’s financial and fiscal affairs and reviews proposals regarding long-term and short-term financing, acquisitions and divestitures, dividend policies, stock repurchase programs, and changes in the Company’s capital structure.</w:t>
      </w:r>
    </w:p>
    <w:p>
      <w:pPr>
        <w:spacing w:after="0" w:line="22" w:lineRule="exact"/>
        <w:rPr>
          <w:rFonts w:ascii="Arial" w:cs="Arial" w:eastAsia="Arial" w:hAnsi="Arial"/>
          <w:sz w:val="14"/>
          <w:szCs w:val="14"/>
          <w:color w:val="2F8B9E"/>
        </w:rPr>
      </w:pPr>
    </w:p>
    <w:p>
      <w:pPr>
        <w:ind w:left="180" w:hanging="172"/>
        <w:spacing w:after="0"/>
        <w:tabs>
          <w:tab w:leader="none" w:pos="180" w:val="left"/>
        </w:tabs>
        <w:numPr>
          <w:ilvl w:val="0"/>
          <w:numId w:val="33"/>
        </w:numPr>
        <w:rPr>
          <w:rFonts w:ascii="Arial" w:cs="Arial" w:eastAsia="Arial" w:hAnsi="Arial"/>
          <w:sz w:val="14"/>
          <w:szCs w:val="14"/>
          <w:color w:val="2F8B9E"/>
        </w:rPr>
      </w:pPr>
      <w:r>
        <w:rPr>
          <w:rFonts w:ascii="Arial" w:cs="Arial" w:eastAsia="Arial" w:hAnsi="Arial"/>
          <w:sz w:val="14"/>
          <w:szCs w:val="14"/>
          <w:color w:val="auto"/>
        </w:rPr>
        <w:t>Reviews the Company’s major capital expenditure plans and monitors the Company’s insurance and tax programs.</w:t>
      </w:r>
    </w:p>
    <w:p>
      <w:pPr>
        <w:spacing w:after="0" w:line="82" w:lineRule="exact"/>
        <w:rPr>
          <w:rFonts w:ascii="Arial" w:cs="Arial" w:eastAsia="Arial" w:hAnsi="Arial"/>
          <w:sz w:val="14"/>
          <w:szCs w:val="14"/>
          <w:color w:val="2F8B9E"/>
        </w:rPr>
      </w:pPr>
    </w:p>
    <w:p>
      <w:pPr>
        <w:ind w:left="180" w:hanging="172"/>
        <w:spacing w:after="0"/>
        <w:tabs>
          <w:tab w:leader="none" w:pos="180" w:val="left"/>
        </w:tabs>
        <w:numPr>
          <w:ilvl w:val="0"/>
          <w:numId w:val="33"/>
        </w:numPr>
        <w:rPr>
          <w:rFonts w:ascii="Arial" w:cs="Arial" w:eastAsia="Arial" w:hAnsi="Arial"/>
          <w:sz w:val="14"/>
          <w:szCs w:val="14"/>
          <w:color w:val="2F8B9E"/>
        </w:rPr>
      </w:pPr>
      <w:r>
        <w:rPr>
          <w:rFonts w:ascii="Arial" w:cs="Arial" w:eastAsia="Arial" w:hAnsi="Arial"/>
          <w:sz w:val="14"/>
          <w:szCs w:val="14"/>
          <w:color w:val="auto"/>
        </w:rPr>
        <w:t>Reviews the administration and management of the Company’s pension plans and investment portfolios.</w:t>
      </w:r>
    </w:p>
    <w:p>
      <w:pPr>
        <w:spacing w:after="0" w:line="104"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Mr. Baine became a member of the Finance Committee when he was appointed to the Board on August 29, 2025.</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color w:val="auto"/>
        </w:rPr>
        <w:t>Nominating and Corporate Governance Committee</w:t>
      </w:r>
    </w:p>
    <w:p>
      <w:pPr>
        <w:spacing w:after="0" w:line="207" w:lineRule="exact"/>
        <w:rPr>
          <w:sz w:val="20"/>
          <w:szCs w:val="20"/>
          <w:color w:val="auto"/>
        </w:rPr>
      </w:pPr>
    </w:p>
    <w:tbl>
      <w:tblPr>
        <w:tblLayout w:type="fixed"/>
        <w:tblInd w:w="1420" w:type="dxa"/>
        <w:tblCellMar>
          <w:top w:w="0" w:type="dxa"/>
          <w:left w:w="0" w:type="dxa"/>
          <w:bottom w:w="0" w:type="dxa"/>
          <w:right w:w="0" w:type="dxa"/>
        </w:tblCellMar>
      </w:tblPr>
      <w:tr>
        <w:trPr>
          <w:trHeight w:val="223"/>
        </w:trPr>
        <w:tc>
          <w:tcPr>
            <w:tcW w:w="3860" w:type="dxa"/>
            <w:vAlign w:val="bottom"/>
            <w:gridSpan w:val="2"/>
          </w:tcPr>
          <w:p>
            <w:pPr>
              <w:spacing w:after="0"/>
              <w:rPr>
                <w:sz w:val="20"/>
                <w:szCs w:val="20"/>
                <w:color w:val="auto"/>
              </w:rPr>
            </w:pPr>
            <w:r>
              <w:rPr>
                <w:rFonts w:ascii="Arial" w:cs="Arial" w:eastAsia="Arial" w:hAnsi="Arial"/>
                <w:sz w:val="16"/>
                <w:szCs w:val="16"/>
                <w:b w:val="1"/>
                <w:bCs w:val="1"/>
                <w:color w:val="auto"/>
              </w:rPr>
              <w:t>NEAL J. KEATING (Chair)</w:t>
            </w:r>
          </w:p>
        </w:tc>
        <w:tc>
          <w:tcPr>
            <w:tcW w:w="2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72"/>
        </w:trPr>
        <w:tc>
          <w:tcPr>
            <w:tcW w:w="1520" w:type="dxa"/>
            <w:vAlign w:val="bottom"/>
          </w:tcPr>
          <w:p>
            <w:pPr>
              <w:spacing w:after="0"/>
              <w:rPr>
                <w:sz w:val="20"/>
                <w:szCs w:val="20"/>
                <w:color w:val="auto"/>
              </w:rPr>
            </w:pPr>
            <w:r>
              <w:rPr>
                <w:rFonts w:ascii="Arial" w:cs="Arial" w:eastAsia="Arial" w:hAnsi="Arial"/>
                <w:sz w:val="16"/>
                <w:szCs w:val="16"/>
                <w:b w:val="1"/>
                <w:bCs w:val="1"/>
                <w:color w:val="auto"/>
              </w:rPr>
              <w:t>Members:</w:t>
            </w:r>
          </w:p>
        </w:tc>
        <w:tc>
          <w:tcPr>
            <w:tcW w:w="2340" w:type="dxa"/>
            <w:vAlign w:val="bottom"/>
          </w:tcPr>
          <w:p>
            <w:pPr>
              <w:spacing w:after="0"/>
              <w:rPr>
                <w:sz w:val="24"/>
                <w:szCs w:val="24"/>
                <w:color w:val="auto"/>
              </w:rPr>
            </w:pPr>
          </w:p>
        </w:tc>
        <w:tc>
          <w:tcPr>
            <w:tcW w:w="2320" w:type="dxa"/>
            <w:vAlign w:val="bottom"/>
          </w:tcPr>
          <w:p>
            <w:pPr>
              <w:jc w:val="right"/>
              <w:ind w:right="837"/>
              <w:spacing w:after="0"/>
              <w:rPr>
                <w:sz w:val="20"/>
                <w:szCs w:val="20"/>
                <w:color w:val="auto"/>
              </w:rPr>
            </w:pPr>
            <w:r>
              <w:rPr>
                <w:rFonts w:ascii="Arial" w:cs="Arial" w:eastAsia="Arial" w:hAnsi="Arial"/>
                <w:sz w:val="25"/>
                <w:szCs w:val="25"/>
                <w:b w:val="1"/>
                <w:bCs w:val="1"/>
                <w:color w:val="auto"/>
              </w:rPr>
              <w:t>4</w:t>
            </w:r>
          </w:p>
        </w:tc>
        <w:tc>
          <w:tcPr>
            <w:tcW w:w="1700" w:type="dxa"/>
            <w:vAlign w:val="bottom"/>
          </w:tcPr>
          <w:p>
            <w:pPr>
              <w:jc w:val="right"/>
              <w:ind w:right="457"/>
              <w:spacing w:after="0"/>
              <w:rPr>
                <w:sz w:val="20"/>
                <w:szCs w:val="20"/>
                <w:color w:val="auto"/>
              </w:rPr>
            </w:pPr>
            <w:r>
              <w:rPr>
                <w:rFonts w:ascii="Arial" w:cs="Arial" w:eastAsia="Arial" w:hAnsi="Arial"/>
                <w:sz w:val="25"/>
                <w:szCs w:val="25"/>
                <w:b w:val="1"/>
                <w:bCs w:val="1"/>
                <w:color w:val="auto"/>
              </w:rPr>
              <w:t>100%</w:t>
            </w:r>
          </w:p>
        </w:tc>
        <w:tc>
          <w:tcPr>
            <w:tcW w:w="1500" w:type="dxa"/>
            <w:vAlign w:val="bottom"/>
          </w:tcPr>
          <w:p>
            <w:pPr>
              <w:jc w:val="right"/>
              <w:ind w:right="177"/>
              <w:spacing w:after="0"/>
              <w:rPr>
                <w:sz w:val="20"/>
                <w:szCs w:val="20"/>
                <w:color w:val="auto"/>
              </w:rPr>
            </w:pPr>
            <w:r>
              <w:rPr>
                <w:rFonts w:ascii="Arial" w:cs="Arial" w:eastAsia="Arial" w:hAnsi="Arial"/>
                <w:sz w:val="25"/>
                <w:szCs w:val="25"/>
                <w:b w:val="1"/>
                <w:bCs w:val="1"/>
                <w:color w:val="FFFFFF"/>
              </w:rPr>
              <w:t>5 / 5</w:t>
            </w:r>
          </w:p>
        </w:tc>
      </w:tr>
      <w:tr>
        <w:trPr>
          <w:trHeight w:val="216"/>
        </w:trPr>
        <w:tc>
          <w:tcPr>
            <w:tcW w:w="1520" w:type="dxa"/>
            <w:vAlign w:val="bottom"/>
          </w:tcPr>
          <w:p>
            <w:pPr>
              <w:spacing w:after="0"/>
              <w:rPr>
                <w:sz w:val="20"/>
                <w:szCs w:val="20"/>
                <w:color w:val="auto"/>
              </w:rPr>
            </w:pPr>
            <w:r>
              <w:rPr>
                <w:rFonts w:ascii="Arial" w:cs="Arial" w:eastAsia="Arial" w:hAnsi="Arial"/>
                <w:sz w:val="16"/>
                <w:szCs w:val="16"/>
                <w:color w:val="auto"/>
              </w:rPr>
              <w:t>Carlos M. Cardoso</w:t>
            </w:r>
          </w:p>
        </w:tc>
        <w:tc>
          <w:tcPr>
            <w:tcW w:w="2340" w:type="dxa"/>
            <w:vAlign w:val="bottom"/>
          </w:tcPr>
          <w:p>
            <w:pPr>
              <w:ind w:left="180"/>
              <w:spacing w:after="0" w:line="216" w:lineRule="exact"/>
              <w:rPr>
                <w:sz w:val="20"/>
                <w:szCs w:val="20"/>
                <w:color w:val="auto"/>
              </w:rPr>
            </w:pPr>
            <w:r>
              <w:rPr>
                <w:rFonts w:ascii="Arial" w:cs="Arial" w:eastAsia="Arial" w:hAnsi="Arial"/>
                <w:sz w:val="16"/>
                <w:szCs w:val="16"/>
                <w:color w:val="auto"/>
              </w:rPr>
              <w:t>Jennifer M. Pollino</w:t>
            </w:r>
            <w:r>
              <w:rPr>
                <w:rFonts w:ascii="Arial" w:cs="Arial" w:eastAsia="Arial" w:hAnsi="Arial"/>
                <w:sz w:val="25"/>
                <w:szCs w:val="25"/>
                <w:color w:val="auto"/>
                <w:vertAlign w:val="superscript"/>
              </w:rPr>
              <w:t>(2)</w:t>
            </w:r>
          </w:p>
        </w:tc>
        <w:tc>
          <w:tcPr>
            <w:tcW w:w="2320" w:type="dxa"/>
            <w:vAlign w:val="bottom"/>
          </w:tcPr>
          <w:p>
            <w:pPr>
              <w:jc w:val="center"/>
              <w:ind w:left="177"/>
              <w:spacing w:after="0"/>
              <w:rPr>
                <w:sz w:val="20"/>
                <w:szCs w:val="20"/>
                <w:color w:val="auto"/>
              </w:rPr>
            </w:pPr>
            <w:r>
              <w:rPr>
                <w:rFonts w:ascii="Arial" w:cs="Arial" w:eastAsia="Arial" w:hAnsi="Arial"/>
                <w:sz w:val="16"/>
                <w:szCs w:val="16"/>
                <w:color w:val="auto"/>
              </w:rPr>
              <w:t>Meetings in 2025</w:t>
            </w:r>
          </w:p>
        </w:tc>
        <w:tc>
          <w:tcPr>
            <w:tcW w:w="1700" w:type="dxa"/>
            <w:vAlign w:val="bottom"/>
          </w:tcPr>
          <w:p>
            <w:pPr>
              <w:jc w:val="center"/>
              <w:spacing w:after="0"/>
              <w:rPr>
                <w:sz w:val="20"/>
                <w:szCs w:val="20"/>
                <w:color w:val="auto"/>
              </w:rPr>
            </w:pPr>
            <w:r>
              <w:rPr>
                <w:rFonts w:ascii="Arial" w:cs="Arial" w:eastAsia="Arial" w:hAnsi="Arial"/>
                <w:sz w:val="16"/>
                <w:szCs w:val="16"/>
                <w:color w:val="auto"/>
              </w:rPr>
              <w:t>Attendance</w:t>
            </w:r>
          </w:p>
        </w:tc>
        <w:tc>
          <w:tcPr>
            <w:tcW w:w="1500" w:type="dxa"/>
            <w:vAlign w:val="bottom"/>
          </w:tcPr>
          <w:p>
            <w:pPr>
              <w:jc w:val="center"/>
              <w:ind w:left="377"/>
              <w:spacing w:after="0"/>
              <w:rPr>
                <w:sz w:val="20"/>
                <w:szCs w:val="20"/>
                <w:color w:val="auto"/>
              </w:rPr>
            </w:pPr>
            <w:r>
              <w:rPr>
                <w:rFonts w:ascii="Arial" w:cs="Arial" w:eastAsia="Arial" w:hAnsi="Arial"/>
                <w:sz w:val="16"/>
                <w:szCs w:val="16"/>
                <w:color w:val="FFFFFF"/>
              </w:rPr>
              <w:t>Independence</w:t>
            </w:r>
          </w:p>
        </w:tc>
      </w:tr>
      <w:tr>
        <w:trPr>
          <w:trHeight w:val="150"/>
        </w:trPr>
        <w:tc>
          <w:tcPr>
            <w:tcW w:w="1520" w:type="dxa"/>
            <w:vAlign w:val="bottom"/>
          </w:tcPr>
          <w:p>
            <w:pPr>
              <w:spacing w:after="0" w:line="151" w:lineRule="exact"/>
              <w:rPr>
                <w:sz w:val="20"/>
                <w:szCs w:val="20"/>
                <w:color w:val="auto"/>
              </w:rPr>
            </w:pPr>
            <w:r>
              <w:rPr>
                <w:rFonts w:ascii="Arial" w:cs="Arial" w:eastAsia="Arial" w:hAnsi="Arial"/>
                <w:sz w:val="16"/>
                <w:szCs w:val="16"/>
                <w:color w:val="auto"/>
              </w:rPr>
              <w:t>Anthony J. Guzzi</w:t>
            </w:r>
          </w:p>
        </w:tc>
        <w:tc>
          <w:tcPr>
            <w:tcW w:w="23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5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-600710</wp:posOffset>
            </wp:positionV>
            <wp:extent cx="3540125" cy="8229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540125" cy="822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-600710</wp:posOffset>
            </wp:positionV>
            <wp:extent cx="771525" cy="7715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71525" cy="771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6"/>
          <w:szCs w:val="16"/>
          <w:color w:val="auto"/>
        </w:rPr>
        <w:t>Bonnie C. Lind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70485</wp:posOffset>
            </wp:positionV>
            <wp:extent cx="2700020" cy="342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700020" cy="3429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Oversight Responsibilities</w:t>
      </w:r>
    </w:p>
    <w:p>
      <w:pPr>
        <w:spacing w:after="0" w:line="203"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6"/>
          <w:szCs w:val="16"/>
          <w:color w:val="2F8B9E"/>
        </w:rPr>
      </w:pPr>
      <w:r>
        <w:rPr>
          <w:rFonts w:ascii="Arial" w:cs="Arial" w:eastAsia="Arial" w:hAnsi="Arial"/>
          <w:sz w:val="16"/>
          <w:szCs w:val="16"/>
          <w:color w:val="auto"/>
        </w:rPr>
        <w:t>Identifies qualified individuals to become Board members and recommends nominees for election or appointment to the Board.</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5"/>
        </w:numPr>
        <w:rPr>
          <w:rFonts w:ascii="Arial" w:cs="Arial" w:eastAsia="Arial" w:hAnsi="Arial"/>
          <w:sz w:val="16"/>
          <w:szCs w:val="16"/>
          <w:color w:val="2F8B9E"/>
        </w:rPr>
      </w:pPr>
      <w:r>
        <w:rPr>
          <w:rFonts w:ascii="Arial" w:cs="Arial" w:eastAsia="Arial" w:hAnsi="Arial"/>
          <w:sz w:val="16"/>
          <w:szCs w:val="16"/>
          <w:color w:val="auto"/>
        </w:rPr>
        <w:t>Oversees the Board’s and management’s performance evaluation and succession planning processes.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5"/>
        </w:numPr>
        <w:rPr>
          <w:rFonts w:ascii="Arial" w:cs="Arial" w:eastAsia="Arial" w:hAnsi="Arial"/>
          <w:sz w:val="16"/>
          <w:szCs w:val="16"/>
          <w:color w:val="2F8B9E"/>
        </w:rPr>
      </w:pPr>
      <w:r>
        <w:rPr>
          <w:rFonts w:ascii="Arial" w:cs="Arial" w:eastAsia="Arial" w:hAnsi="Arial"/>
          <w:sz w:val="16"/>
          <w:szCs w:val="16"/>
          <w:color w:val="auto"/>
        </w:rPr>
        <w:t>Develops the Company’s corporate governance guidelines and monitors adherence to its principles.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5"/>
        </w:numPr>
        <w:rPr>
          <w:rFonts w:ascii="Arial" w:cs="Arial" w:eastAsia="Arial" w:hAnsi="Arial"/>
          <w:sz w:val="16"/>
          <w:szCs w:val="16"/>
          <w:color w:val="2F8B9E"/>
        </w:rPr>
      </w:pPr>
      <w:r>
        <w:rPr>
          <w:rFonts w:ascii="Arial" w:cs="Arial" w:eastAsia="Arial" w:hAnsi="Arial"/>
          <w:sz w:val="16"/>
          <w:szCs w:val="16"/>
          <w:color w:val="auto"/>
        </w:rPr>
        <w:t>Approves related person transactions.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5"/>
        </w:numPr>
        <w:rPr>
          <w:rFonts w:ascii="Arial" w:cs="Arial" w:eastAsia="Arial" w:hAnsi="Arial"/>
          <w:sz w:val="16"/>
          <w:szCs w:val="16"/>
          <w:color w:val="2F8B9E"/>
        </w:rPr>
      </w:pPr>
      <w:r>
        <w:rPr>
          <w:rFonts w:ascii="Arial" w:cs="Arial" w:eastAsia="Arial" w:hAnsi="Arial"/>
          <w:sz w:val="16"/>
          <w:szCs w:val="16"/>
          <w:color w:val="auto"/>
        </w:rPr>
        <w:t>Evaluates Director independence and compensation.</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5"/>
        </w:numPr>
        <w:rPr>
          <w:rFonts w:ascii="Arial" w:cs="Arial" w:eastAsia="Arial" w:hAnsi="Arial"/>
          <w:sz w:val="16"/>
          <w:szCs w:val="16"/>
          <w:color w:val="2F8B9E"/>
        </w:rPr>
      </w:pPr>
      <w:r>
        <w:rPr>
          <w:rFonts w:ascii="Arial" w:cs="Arial" w:eastAsia="Arial" w:hAnsi="Arial"/>
          <w:sz w:val="16"/>
          <w:szCs w:val="16"/>
          <w:color w:val="auto"/>
        </w:rPr>
        <w:t>Reviews the Company’s sustainability and corporate responsibility program.</w:t>
      </w:r>
    </w:p>
    <w:p>
      <w:pPr>
        <w:spacing w:after="0" w:line="11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Ms. Pollino became a member of the NCGC on May 6, 2025.</w:t>
      </w:r>
    </w:p>
    <w:p>
      <w:pPr>
        <w:spacing w:after="0" w:line="15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See the “Nomination and Election Process” section on page 15 and the “Director Independence” section on page 25 for more information on the actions taken by the NCGC in these areas.</w:t>
      </w:r>
    </w:p>
    <w:p>
      <w:pPr>
        <w:spacing w:after="0" w:line="129"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Board Practices and Procedures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Code of Business Conduct and Ethics</w:t>
      </w: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 xml:space="preserve">Hubbell requires its Directors and officers to act in accordance with the highest standards of ethical conduct. Our Code of Business Conduct and Ethics (the “Code of Conduct”), which is available on the Corporate Governance page of our website, </w:t>
      </w:r>
      <w:r>
        <w:rPr>
          <w:rFonts w:ascii="Arial" w:cs="Arial" w:eastAsia="Arial" w:hAnsi="Arial"/>
          <w:sz w:val="16"/>
          <w:szCs w:val="16"/>
          <w:b w:val="1"/>
          <w:bCs w:val="1"/>
          <w:color w:val="auto"/>
        </w:rPr>
        <w:t>www.hubbell.com</w:t>
      </w:r>
      <w:r>
        <w:rPr>
          <w:rFonts w:ascii="Arial" w:cs="Arial" w:eastAsia="Arial" w:hAnsi="Arial"/>
          <w:sz w:val="16"/>
          <w:szCs w:val="16"/>
          <w:color w:val="auto"/>
        </w:rPr>
        <w:t>, supports our commitment to the people we serve, the communities we work in, the Company, and each other. The Code of Conduct covers many areas, including conflicts of interest, ethical business conduct, employment practices, compliance with applicable laws and regulations, protection of Company assets and confidential information, and reporting obligations. Each year, to strengthen the Company’s commitment to ethical conduct, we provide mandatory training on various aspects of the Code of Conduct for all Directors and officers and require them to certify compliance with the Code of Conduct. We will disclose any future amendments to, 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waivers from, provisions of our Code of Conduct on our website as promptly as practicable</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98" w:lineRule="exact"/>
        <w:rPr>
          <w:sz w:val="20"/>
          <w:szCs w:val="20"/>
          <w:color w:val="auto"/>
        </w:rPr>
      </w:pPr>
    </w:p>
    <w:p>
      <w:pPr>
        <w:spacing w:after="0"/>
        <w:rPr>
          <w:sz w:val="20"/>
          <w:szCs w:val="20"/>
          <w:color w:val="auto"/>
        </w:rPr>
      </w:pPr>
      <w:r>
        <w:rPr>
          <w:rFonts w:ascii="Arial" w:cs="Arial" w:eastAsia="Arial" w:hAnsi="Arial"/>
          <w:sz w:val="25"/>
          <w:szCs w:val="25"/>
          <w:color w:val="auto"/>
        </w:rPr>
        <w:t>Restrictions on Service on Other Public Company Boards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Guidelines provide that Directors generally may serve on no more than three other public company boards. However, if the Company’s CEO is also the Chair of the Hubbell Board, that individual may serve on no more than one other public company board. The Board believes that restrictions on service on other public company boards is important to ensure that each Director has sufficient time to dedicate to Hubbell.</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color w:val="auto"/>
        </w:rPr>
        <w:t>Insider Trading Policy</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Hubbell’s insider trading policy, which governs the purchase, sales, and other dispositions of Hubbell's securities, applies to all Directors, officers, and certain other designated employees of the Company, as well as all individuals living in such restricted person's household, entities controlled by such restricted persons and trusts over which restricted persons serve as trustees. We believe our insider trading policy and procedures are reasonably designed to promote compliance with insider trading laws, rules and regulations, and listing standards applicable to Hubbell. A copy of Hubbell's insider trading policy is included as Exhibit 19.1 to our Annual Report on Form 10-K for the year ended December 31, 2025, filed with the SEC on February 12, 2026.</w:t>
      </w:r>
    </w:p>
    <w:p>
      <w:pPr>
        <w:spacing w:after="0" w:line="160" w:lineRule="exact"/>
        <w:rPr>
          <w:sz w:val="20"/>
          <w:szCs w:val="20"/>
          <w:color w:val="auto"/>
        </w:rPr>
      </w:pPr>
    </w:p>
    <w:p>
      <w:pPr>
        <w:ind w:left="340" w:hanging="332"/>
        <w:spacing w:after="0" w:line="192" w:lineRule="auto"/>
        <w:tabs>
          <w:tab w:leader="none" w:pos="340" w:val="left"/>
        </w:tabs>
        <w:numPr>
          <w:ilvl w:val="0"/>
          <w:numId w:val="3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reference to our website address does not constitute incorporation by reference of the information contained on the website, and such information is not part of this Proxy Statement.</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28</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Outreach and Engagement</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regularly engage with shareholders on diverse topics such as financial performance, compensation, corporate governance, and sustainability (including human capital management). We are committed to continuing to engage with our shareholders and, to reviewing and applying the feedback we receive.</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Board of Directors and Hubbell’s management team engage in a robust program of shareholder outreach and continue to focus on shareholders’ perspectives on our compensation programs and our pay for performance philosophy. In addition, in the fourth quarter of 2025, members of our senior management engaged in a targeted outreach to Hubbell’s top twenty-five shareholders representing almost 60% of Hubbell’s outstanding common stock. These conversations, which were led by a cross-functional group of senior leaders, helped inform the Compensation Committee’s review of the executive compensation programs and confirmed shareholders’ overall support of our compensation philosophy, design, and programs and corporate governance practices.</w:t>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Consistent with our commitment to implementing best corporate governance practices, and in response to shareholder feedback, in 2025 we adopted amendments to our Certificate of Incorporation and By-Laws to implement a majority voting standard in uncontested Director elections.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Annual Shareholder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-44450</wp:posOffset>
            </wp:positionV>
            <wp:extent cx="192024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2024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-44450</wp:posOffset>
            </wp:positionV>
            <wp:extent cx="82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-44450</wp:posOffset>
            </wp:positionV>
            <wp:extent cx="82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-44450</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-44450</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-44450</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-44450</wp:posOffset>
            </wp:positionV>
            <wp:extent cx="82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-44450</wp:posOffset>
            </wp:positionV>
            <wp:extent cx="82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-44450</wp:posOffset>
            </wp:positionV>
            <wp:extent cx="82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-44450</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-44450</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-44450</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-44450</wp:posOffset>
            </wp:positionV>
            <wp:extent cx="82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-44450</wp:posOffset>
            </wp:positionV>
            <wp:extent cx="82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-44450</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-44450</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-44450</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-44450</wp:posOffset>
            </wp:positionV>
            <wp:extent cx="825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-44450</wp:posOffset>
            </wp:positionV>
            <wp:extent cx="82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-44450</wp:posOffset>
            </wp:positionV>
            <wp:extent cx="825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-44450</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-44450</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-44450</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-44450</wp:posOffset>
            </wp:positionV>
            <wp:extent cx="825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-44450</wp:posOffset>
            </wp:positionV>
            <wp:extent cx="82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-44450</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-44450</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-44450</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-44450</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-44450</wp:posOffset>
            </wp:positionV>
            <wp:extent cx="825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-44450</wp:posOffset>
            </wp:positionV>
            <wp:extent cx="82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-44450</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-44450</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-44450</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-44450</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-44450</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-44450</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-44450</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-44450</wp:posOffset>
            </wp:positionV>
            <wp:extent cx="825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-44450</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-44450</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-44450</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-44450</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-44450</wp:posOffset>
            </wp:positionV>
            <wp:extent cx="825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-44450</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-44450</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-44450</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-44450</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-44450</wp:posOffset>
            </wp:positionV>
            <wp:extent cx="82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-44450</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-44450</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-44450</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-44450</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-44450</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-44450</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-44450</wp:posOffset>
            </wp:positionV>
            <wp:extent cx="82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-44450</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-44450</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-44450</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-44450</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-44450</wp:posOffset>
            </wp:positionV>
            <wp:extent cx="825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-44450</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-44450</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-44450</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-44450</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-44450</wp:posOffset>
            </wp:positionV>
            <wp:extent cx="825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-44450</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-44450</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-44450</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-44450</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-44450</wp:posOffset>
            </wp:positionV>
            <wp:extent cx="825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-44450</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-44450</wp:posOffset>
            </wp:positionV>
            <wp:extent cx="825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-44450</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-44450</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-44450</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-44450</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-44450</wp:posOffset>
            </wp:positionV>
            <wp:extent cx="825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-44450</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-44450</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-44450</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-44450</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-44450</wp:posOffset>
            </wp:positionV>
            <wp:extent cx="825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-44450</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-44450</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-44450</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-44450</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-44450</wp:posOffset>
            </wp:positionV>
            <wp:extent cx="825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-44450</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-44450</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-44450</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-44450</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-44450</wp:posOffset>
            </wp:positionV>
            <wp:extent cx="825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-44450</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-44450</wp:posOffset>
            </wp:positionV>
            <wp:extent cx="825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-44450</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-44450</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-44450</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-44450</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-44450</wp:posOffset>
            </wp:positionV>
            <wp:extent cx="825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-44450</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-44450</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-44450</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-44450</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-44450</wp:posOffset>
            </wp:positionV>
            <wp:extent cx="825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-44450</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-44450</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-44450</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-44450</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-44450</wp:posOffset>
            </wp:positionV>
            <wp:extent cx="82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-44450</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-44450</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-44450</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2782570</wp:posOffset>
            </wp:positionH>
            <wp:positionV relativeFrom="paragraph">
              <wp:posOffset>-44450</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2500" w:type="dxa"/>
            <w:vAlign w:val="bottom"/>
            <w:gridSpan w:val="2"/>
            <w:shd w:val="clear" w:color="auto" w:fill="FFE933"/>
          </w:tcPr>
          <w:p>
            <w:pPr>
              <w:jc w:val="center"/>
              <w:spacing w:after="0"/>
              <w:rPr>
                <w:sz w:val="20"/>
                <w:szCs w:val="20"/>
                <w:color w:val="auto"/>
              </w:rPr>
            </w:pPr>
            <w:r>
              <w:rPr>
                <w:rFonts w:ascii="Arial" w:cs="Arial" w:eastAsia="Arial" w:hAnsi="Arial"/>
                <w:sz w:val="16"/>
                <w:szCs w:val="16"/>
                <w:b w:val="1"/>
                <w:bCs w:val="1"/>
                <w:color w:val="auto"/>
              </w:rPr>
              <w:t>Spring</w:t>
            </w:r>
          </w:p>
        </w:tc>
        <w:tc>
          <w:tcPr>
            <w:tcW w:w="460" w:type="dxa"/>
            <w:vAlign w:val="bottom"/>
          </w:tcPr>
          <w:p>
            <w:pPr>
              <w:spacing w:after="0"/>
              <w:rPr>
                <w:sz w:val="22"/>
                <w:szCs w:val="22"/>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b w:val="1"/>
                <w:bCs w:val="1"/>
                <w:color w:val="FFFFFF"/>
              </w:rPr>
              <w:t>Summer</w:t>
            </w:r>
          </w:p>
        </w:tc>
        <w:tc>
          <w:tcPr>
            <w:tcW w:w="460" w:type="dxa"/>
            <w:vAlign w:val="bottom"/>
          </w:tcPr>
          <w:p>
            <w:pPr>
              <w:spacing w:after="0"/>
              <w:rPr>
                <w:sz w:val="22"/>
                <w:szCs w:val="22"/>
                <w:color w:val="auto"/>
              </w:rPr>
            </w:pPr>
          </w:p>
        </w:tc>
        <w:tc>
          <w:tcPr>
            <w:tcW w:w="2420" w:type="dxa"/>
            <w:vAlign w:val="bottom"/>
            <w:shd w:val="clear" w:color="auto" w:fill="F1F2F2"/>
          </w:tcPr>
          <w:p>
            <w:pPr>
              <w:jc w:val="center"/>
              <w:spacing w:after="0"/>
              <w:rPr>
                <w:sz w:val="20"/>
                <w:szCs w:val="20"/>
                <w:color w:val="auto"/>
              </w:rPr>
            </w:pPr>
            <w:r>
              <w:rPr>
                <w:rFonts w:ascii="Arial" w:cs="Arial" w:eastAsia="Arial" w:hAnsi="Arial"/>
                <w:sz w:val="16"/>
                <w:szCs w:val="16"/>
                <w:b w:val="1"/>
                <w:bCs w:val="1"/>
                <w:color w:val="auto"/>
              </w:rPr>
              <w:t>Fall</w:t>
            </w:r>
          </w:p>
        </w:tc>
        <w:tc>
          <w:tcPr>
            <w:tcW w:w="460" w:type="dxa"/>
            <w:vAlign w:val="bottom"/>
          </w:tcPr>
          <w:p>
            <w:pPr>
              <w:spacing w:after="0"/>
              <w:rPr>
                <w:sz w:val="22"/>
                <w:szCs w:val="22"/>
                <w:color w:val="auto"/>
              </w:rPr>
            </w:pPr>
          </w:p>
        </w:tc>
        <w:tc>
          <w:tcPr>
            <w:tcW w:w="2520" w:type="dxa"/>
            <w:vAlign w:val="bottom"/>
            <w:gridSpan w:val="2"/>
            <w:shd w:val="clear" w:color="auto" w:fill="D4CFCD"/>
          </w:tcPr>
          <w:p>
            <w:pPr>
              <w:jc w:val="center"/>
              <w:ind w:right="20"/>
              <w:spacing w:after="0"/>
              <w:rPr>
                <w:sz w:val="20"/>
                <w:szCs w:val="20"/>
                <w:color w:val="auto"/>
              </w:rPr>
            </w:pPr>
            <w:r>
              <w:rPr>
                <w:rFonts w:ascii="Arial" w:cs="Arial" w:eastAsia="Arial" w:hAnsi="Arial"/>
                <w:sz w:val="16"/>
                <w:szCs w:val="16"/>
                <w:b w:val="1"/>
                <w:bCs w:val="1"/>
                <w:color w:val="auto"/>
              </w:rPr>
              <w:t>Winter</w:t>
            </w:r>
          </w:p>
        </w:tc>
        <w:tc>
          <w:tcPr>
            <w:tcW w:w="0" w:type="dxa"/>
            <w:vAlign w:val="bottom"/>
          </w:tcPr>
          <w:p>
            <w:pPr>
              <w:spacing w:after="0"/>
              <w:rPr>
                <w:sz w:val="1"/>
                <w:szCs w:val="1"/>
                <w:color w:val="auto"/>
              </w:rPr>
            </w:pPr>
          </w:p>
        </w:tc>
      </w:tr>
      <w:tr>
        <w:trPr>
          <w:trHeight w:val="89"/>
        </w:trPr>
        <w:tc>
          <w:tcPr>
            <w:tcW w:w="2500" w:type="dxa"/>
            <w:vAlign w:val="bottom"/>
            <w:gridSpan w:val="2"/>
            <w:vMerge w:val="restart"/>
            <w:shd w:val="clear" w:color="auto" w:fill="FFE933"/>
          </w:tcPr>
          <w:p>
            <w:pPr>
              <w:jc w:val="center"/>
              <w:spacing w:after="0"/>
              <w:rPr>
                <w:sz w:val="20"/>
                <w:szCs w:val="20"/>
                <w:color w:val="auto"/>
              </w:rPr>
            </w:pPr>
            <w:r>
              <w:rPr>
                <w:rFonts w:ascii="Arial" w:cs="Arial" w:eastAsia="Arial" w:hAnsi="Arial"/>
                <w:sz w:val="16"/>
                <w:szCs w:val="16"/>
                <w:color w:val="auto"/>
              </w:rPr>
              <w:t>Regularly scheduled investor</w:t>
            </w:r>
          </w:p>
        </w:tc>
        <w:tc>
          <w:tcPr>
            <w:tcW w:w="460" w:type="dxa"/>
            <w:vAlign w:val="bottom"/>
          </w:tcPr>
          <w:p>
            <w:pPr>
              <w:spacing w:after="0"/>
              <w:rPr>
                <w:sz w:val="7"/>
                <w:szCs w:val="7"/>
                <w:color w:val="auto"/>
              </w:rPr>
            </w:pPr>
          </w:p>
        </w:tc>
        <w:tc>
          <w:tcPr>
            <w:tcW w:w="2420" w:type="dxa"/>
            <w:vAlign w:val="bottom"/>
            <w:shd w:val="clear" w:color="auto" w:fill="2F8B9E"/>
          </w:tcPr>
          <w:p>
            <w:pPr>
              <w:jc w:val="center"/>
              <w:spacing w:after="0" w:line="90" w:lineRule="exact"/>
              <w:rPr>
                <w:sz w:val="20"/>
                <w:szCs w:val="20"/>
                <w:color w:val="auto"/>
              </w:rPr>
            </w:pPr>
            <w:r>
              <w:rPr>
                <w:rFonts w:ascii="Arial" w:cs="Arial" w:eastAsia="Arial" w:hAnsi="Arial"/>
                <w:sz w:val="8"/>
                <w:szCs w:val="8"/>
                <w:color w:val="FFFFFF"/>
                <w:w w:val="73"/>
              </w:rPr>
              <w:t>`</w:t>
            </w:r>
          </w:p>
        </w:tc>
        <w:tc>
          <w:tcPr>
            <w:tcW w:w="460" w:type="dxa"/>
            <w:vAlign w:val="bottom"/>
          </w:tcPr>
          <w:p>
            <w:pPr>
              <w:spacing w:after="0"/>
              <w:rPr>
                <w:sz w:val="7"/>
                <w:szCs w:val="7"/>
                <w:color w:val="auto"/>
              </w:rPr>
            </w:pPr>
          </w:p>
        </w:tc>
        <w:tc>
          <w:tcPr>
            <w:tcW w:w="2420" w:type="dxa"/>
            <w:vAlign w:val="bottom"/>
            <w:vMerge w:val="restart"/>
            <w:shd w:val="clear" w:color="auto" w:fill="F1F2F2"/>
          </w:tcPr>
          <w:p>
            <w:pPr>
              <w:jc w:val="center"/>
              <w:spacing w:after="0"/>
              <w:rPr>
                <w:sz w:val="20"/>
                <w:szCs w:val="20"/>
                <w:color w:val="auto"/>
              </w:rPr>
            </w:pPr>
            <w:r>
              <w:rPr>
                <w:rFonts w:ascii="Arial" w:cs="Arial" w:eastAsia="Arial" w:hAnsi="Arial"/>
                <w:sz w:val="16"/>
                <w:szCs w:val="16"/>
                <w:color w:val="auto"/>
              </w:rPr>
              <w:t>Review regulatory and</w:t>
            </w:r>
          </w:p>
        </w:tc>
        <w:tc>
          <w:tcPr>
            <w:tcW w:w="460" w:type="dxa"/>
            <w:vAlign w:val="bottom"/>
          </w:tcPr>
          <w:p>
            <w:pPr>
              <w:spacing w:after="0"/>
              <w:rPr>
                <w:sz w:val="7"/>
                <w:szCs w:val="7"/>
                <w:color w:val="auto"/>
              </w:rPr>
            </w:pPr>
          </w:p>
        </w:tc>
        <w:tc>
          <w:tcPr>
            <w:tcW w:w="2520" w:type="dxa"/>
            <w:vAlign w:val="bottom"/>
            <w:gridSpan w:val="2"/>
            <w:vMerge w:val="restart"/>
            <w:shd w:val="clear" w:color="auto" w:fill="D4CFCD"/>
          </w:tcPr>
          <w:p>
            <w:pPr>
              <w:jc w:val="center"/>
              <w:ind w:right="20"/>
              <w:spacing w:after="0"/>
              <w:rPr>
                <w:sz w:val="20"/>
                <w:szCs w:val="20"/>
                <w:color w:val="auto"/>
              </w:rPr>
            </w:pPr>
            <w:r>
              <w:rPr>
                <w:rFonts w:ascii="Arial" w:cs="Arial" w:eastAsia="Arial" w:hAnsi="Arial"/>
                <w:sz w:val="16"/>
                <w:szCs w:val="16"/>
                <w:color w:val="auto"/>
              </w:rPr>
              <w:t>Engage with largest</w:t>
            </w:r>
          </w:p>
        </w:tc>
        <w:tc>
          <w:tcPr>
            <w:tcW w:w="0" w:type="dxa"/>
            <w:vAlign w:val="bottom"/>
          </w:tcPr>
          <w:p>
            <w:pPr>
              <w:spacing w:after="0"/>
              <w:rPr>
                <w:sz w:val="1"/>
                <w:szCs w:val="1"/>
                <w:color w:val="auto"/>
              </w:rPr>
            </w:pPr>
          </w:p>
        </w:tc>
      </w:tr>
      <w:tr>
        <w:trPr>
          <w:trHeight w:val="188"/>
        </w:trPr>
        <w:tc>
          <w:tcPr>
            <w:tcW w:w="2500" w:type="dxa"/>
            <w:vAlign w:val="bottom"/>
            <w:gridSpan w:val="2"/>
            <w:vMerge w:val="continue"/>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Review of prior proxy</w:t>
            </w:r>
          </w:p>
        </w:tc>
        <w:tc>
          <w:tcPr>
            <w:tcW w:w="460" w:type="dxa"/>
            <w:vAlign w:val="bottom"/>
          </w:tcPr>
          <w:p>
            <w:pPr>
              <w:spacing w:after="0"/>
              <w:rPr>
                <w:sz w:val="16"/>
                <w:szCs w:val="16"/>
                <w:color w:val="auto"/>
              </w:rPr>
            </w:pPr>
          </w:p>
        </w:tc>
        <w:tc>
          <w:tcPr>
            <w:tcW w:w="2420" w:type="dxa"/>
            <w:vAlign w:val="bottom"/>
            <w:vMerge w:val="continue"/>
            <w:shd w:val="clear" w:color="auto" w:fill="F1F2F2"/>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2"/>
            <w:vMerge w:val="continue"/>
            <w:shd w:val="clear" w:color="auto" w:fill="D4CFC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00" w:type="dxa"/>
            <w:vAlign w:val="bottom"/>
            <w:gridSpan w:val="2"/>
            <w:shd w:val="clear" w:color="auto" w:fill="FFE933"/>
          </w:tcPr>
          <w:p>
            <w:pPr>
              <w:jc w:val="center"/>
              <w:spacing w:after="0"/>
              <w:rPr>
                <w:sz w:val="20"/>
                <w:szCs w:val="20"/>
                <w:color w:val="auto"/>
              </w:rPr>
            </w:pPr>
            <w:r>
              <w:rPr>
                <w:rFonts w:ascii="Arial" w:cs="Arial" w:eastAsia="Arial" w:hAnsi="Arial"/>
                <w:sz w:val="16"/>
                <w:szCs w:val="16"/>
                <w:color w:val="auto"/>
              </w:rPr>
              <w:t>meetings and conferences.</w:t>
            </w: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season results and</w:t>
            </w:r>
          </w:p>
        </w:tc>
        <w:tc>
          <w:tcPr>
            <w:tcW w:w="460" w:type="dxa"/>
            <w:vAlign w:val="bottom"/>
          </w:tcPr>
          <w:p>
            <w:pPr>
              <w:spacing w:after="0"/>
              <w:rPr>
                <w:sz w:val="16"/>
                <w:szCs w:val="16"/>
                <w:color w:val="auto"/>
              </w:rPr>
            </w:pPr>
          </w:p>
        </w:tc>
        <w:tc>
          <w:tcPr>
            <w:tcW w:w="2420" w:type="dxa"/>
            <w:vAlign w:val="bottom"/>
            <w:shd w:val="clear" w:color="auto" w:fill="F1F2F2"/>
          </w:tcPr>
          <w:p>
            <w:pPr>
              <w:jc w:val="center"/>
              <w:spacing w:after="0"/>
              <w:rPr>
                <w:sz w:val="20"/>
                <w:szCs w:val="20"/>
                <w:color w:val="auto"/>
              </w:rPr>
            </w:pPr>
            <w:r>
              <w:rPr>
                <w:rFonts w:ascii="Arial" w:cs="Arial" w:eastAsia="Arial" w:hAnsi="Arial"/>
                <w:sz w:val="16"/>
                <w:szCs w:val="16"/>
                <w:color w:val="auto"/>
              </w:rPr>
              <w:t>governance changes</w:t>
            </w:r>
          </w:p>
        </w:tc>
        <w:tc>
          <w:tcPr>
            <w:tcW w:w="460" w:type="dxa"/>
            <w:vAlign w:val="bottom"/>
          </w:tcPr>
          <w:p>
            <w:pPr>
              <w:spacing w:after="0"/>
              <w:rPr>
                <w:sz w:val="16"/>
                <w:szCs w:val="16"/>
                <w:color w:val="auto"/>
              </w:rPr>
            </w:pPr>
          </w:p>
        </w:tc>
        <w:tc>
          <w:tcPr>
            <w:tcW w:w="2520" w:type="dxa"/>
            <w:vAlign w:val="bottom"/>
            <w:gridSpan w:val="2"/>
            <w:shd w:val="clear" w:color="auto" w:fill="D4CFCD"/>
          </w:tcPr>
          <w:p>
            <w:pPr>
              <w:jc w:val="center"/>
              <w:spacing w:after="0"/>
              <w:rPr>
                <w:sz w:val="20"/>
                <w:szCs w:val="20"/>
                <w:color w:val="auto"/>
              </w:rPr>
            </w:pPr>
            <w:r>
              <w:rPr>
                <w:rFonts w:ascii="Arial" w:cs="Arial" w:eastAsia="Arial" w:hAnsi="Arial"/>
                <w:sz w:val="16"/>
                <w:szCs w:val="16"/>
                <w:color w:val="auto"/>
              </w:rPr>
              <w:t>shareholders on performance,</w:t>
            </w: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messages from</w:t>
            </w:r>
          </w:p>
        </w:tc>
        <w:tc>
          <w:tcPr>
            <w:tcW w:w="460" w:type="dxa"/>
            <w:vAlign w:val="bottom"/>
          </w:tcPr>
          <w:p>
            <w:pPr>
              <w:spacing w:after="0"/>
              <w:rPr>
                <w:sz w:val="16"/>
                <w:szCs w:val="16"/>
                <w:color w:val="auto"/>
              </w:rPr>
            </w:pPr>
          </w:p>
        </w:tc>
        <w:tc>
          <w:tcPr>
            <w:tcW w:w="2420" w:type="dxa"/>
            <w:vAlign w:val="bottom"/>
            <w:shd w:val="clear" w:color="auto" w:fill="F1F2F2"/>
          </w:tcPr>
          <w:p>
            <w:pPr>
              <w:jc w:val="center"/>
              <w:spacing w:after="0"/>
              <w:rPr>
                <w:sz w:val="20"/>
                <w:szCs w:val="20"/>
                <w:color w:val="auto"/>
              </w:rPr>
            </w:pPr>
            <w:r>
              <w:rPr>
                <w:rFonts w:ascii="Arial" w:cs="Arial" w:eastAsia="Arial" w:hAnsi="Arial"/>
                <w:sz w:val="16"/>
                <w:szCs w:val="16"/>
                <w:color w:val="auto"/>
              </w:rPr>
              <w:t>impacting the Company and</w:t>
            </w:r>
          </w:p>
        </w:tc>
        <w:tc>
          <w:tcPr>
            <w:tcW w:w="460" w:type="dxa"/>
            <w:vAlign w:val="bottom"/>
          </w:tcPr>
          <w:p>
            <w:pPr>
              <w:spacing w:after="0"/>
              <w:rPr>
                <w:sz w:val="16"/>
                <w:szCs w:val="16"/>
                <w:color w:val="auto"/>
              </w:rPr>
            </w:pPr>
          </w:p>
        </w:tc>
        <w:tc>
          <w:tcPr>
            <w:tcW w:w="2520" w:type="dxa"/>
            <w:vAlign w:val="bottom"/>
            <w:gridSpan w:val="2"/>
            <w:shd w:val="clear" w:color="auto" w:fill="D4CFCD"/>
          </w:tcPr>
          <w:p>
            <w:pPr>
              <w:jc w:val="center"/>
              <w:spacing w:after="0"/>
              <w:rPr>
                <w:sz w:val="20"/>
                <w:szCs w:val="20"/>
                <w:color w:val="auto"/>
              </w:rPr>
            </w:pPr>
            <w:r>
              <w:rPr>
                <w:rFonts w:ascii="Arial" w:cs="Arial" w:eastAsia="Arial" w:hAnsi="Arial"/>
                <w:sz w:val="16"/>
                <w:szCs w:val="16"/>
                <w:color w:val="auto"/>
              </w:rPr>
              <w:t>compensation, governance,</w:t>
            </w: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shareholders; prepare for</w:t>
            </w:r>
          </w:p>
        </w:tc>
        <w:tc>
          <w:tcPr>
            <w:tcW w:w="460" w:type="dxa"/>
            <w:vAlign w:val="bottom"/>
          </w:tcPr>
          <w:p>
            <w:pPr>
              <w:spacing w:after="0"/>
              <w:rPr>
                <w:sz w:val="16"/>
                <w:szCs w:val="16"/>
                <w:color w:val="auto"/>
              </w:rPr>
            </w:pPr>
          </w:p>
        </w:tc>
        <w:tc>
          <w:tcPr>
            <w:tcW w:w="2420" w:type="dxa"/>
            <w:vAlign w:val="bottom"/>
            <w:shd w:val="clear" w:color="auto" w:fill="F1F2F2"/>
          </w:tcPr>
          <w:p>
            <w:pPr>
              <w:jc w:val="center"/>
              <w:spacing w:after="0"/>
              <w:rPr>
                <w:sz w:val="20"/>
                <w:szCs w:val="20"/>
                <w:color w:val="auto"/>
              </w:rPr>
            </w:pPr>
            <w:r>
              <w:rPr>
                <w:rFonts w:ascii="Arial" w:cs="Arial" w:eastAsia="Arial" w:hAnsi="Arial"/>
                <w:sz w:val="16"/>
                <w:szCs w:val="16"/>
                <w:color w:val="auto"/>
              </w:rPr>
              <w:t>its shareholders; ongoing</w:t>
            </w:r>
          </w:p>
        </w:tc>
        <w:tc>
          <w:tcPr>
            <w:tcW w:w="460" w:type="dxa"/>
            <w:vAlign w:val="bottom"/>
          </w:tcPr>
          <w:p>
            <w:pPr>
              <w:spacing w:after="0"/>
              <w:rPr>
                <w:sz w:val="16"/>
                <w:szCs w:val="16"/>
                <w:color w:val="auto"/>
              </w:rPr>
            </w:pPr>
          </w:p>
        </w:tc>
        <w:tc>
          <w:tcPr>
            <w:tcW w:w="2520" w:type="dxa"/>
            <w:vAlign w:val="bottom"/>
            <w:gridSpan w:val="2"/>
            <w:shd w:val="clear" w:color="auto" w:fill="D4CFCD"/>
          </w:tcPr>
          <w:p>
            <w:pPr>
              <w:jc w:val="center"/>
              <w:spacing w:after="0"/>
              <w:rPr>
                <w:sz w:val="20"/>
                <w:szCs w:val="20"/>
                <w:color w:val="auto"/>
              </w:rPr>
            </w:pPr>
            <w:r>
              <w:rPr>
                <w:rFonts w:ascii="Arial" w:cs="Arial" w:eastAsia="Arial" w:hAnsi="Arial"/>
                <w:sz w:val="16"/>
                <w:szCs w:val="16"/>
                <w:color w:val="auto"/>
              </w:rPr>
              <w:t>and sustainability matters;</w:t>
            </w: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shareholder engagement</w:t>
            </w:r>
          </w:p>
        </w:tc>
        <w:tc>
          <w:tcPr>
            <w:tcW w:w="460" w:type="dxa"/>
            <w:vAlign w:val="bottom"/>
          </w:tcPr>
          <w:p>
            <w:pPr>
              <w:spacing w:after="0"/>
              <w:rPr>
                <w:sz w:val="16"/>
                <w:szCs w:val="16"/>
                <w:color w:val="auto"/>
              </w:rPr>
            </w:pPr>
          </w:p>
        </w:tc>
        <w:tc>
          <w:tcPr>
            <w:tcW w:w="2420" w:type="dxa"/>
            <w:vAlign w:val="bottom"/>
            <w:shd w:val="clear" w:color="auto" w:fill="F1F2F2"/>
          </w:tcPr>
          <w:p>
            <w:pPr>
              <w:jc w:val="center"/>
              <w:spacing w:after="0"/>
              <w:rPr>
                <w:sz w:val="20"/>
                <w:szCs w:val="20"/>
                <w:color w:val="auto"/>
              </w:rPr>
            </w:pPr>
            <w:r>
              <w:rPr>
                <w:rFonts w:ascii="Arial" w:cs="Arial" w:eastAsia="Arial" w:hAnsi="Arial"/>
                <w:sz w:val="16"/>
                <w:szCs w:val="16"/>
                <w:color w:val="auto"/>
              </w:rPr>
              <w:t>scheduled investor meetings</w:t>
            </w:r>
          </w:p>
        </w:tc>
        <w:tc>
          <w:tcPr>
            <w:tcW w:w="460" w:type="dxa"/>
            <w:vAlign w:val="bottom"/>
          </w:tcPr>
          <w:p>
            <w:pPr>
              <w:spacing w:after="0"/>
              <w:rPr>
                <w:sz w:val="16"/>
                <w:szCs w:val="16"/>
                <w:color w:val="auto"/>
              </w:rPr>
            </w:pPr>
          </w:p>
        </w:tc>
        <w:tc>
          <w:tcPr>
            <w:tcW w:w="2520" w:type="dxa"/>
            <w:vAlign w:val="bottom"/>
            <w:gridSpan w:val="2"/>
            <w:shd w:val="clear" w:color="auto" w:fill="D4CFCD"/>
          </w:tcPr>
          <w:p>
            <w:pPr>
              <w:jc w:val="center"/>
              <w:spacing w:after="0"/>
              <w:rPr>
                <w:sz w:val="20"/>
                <w:szCs w:val="20"/>
                <w:color w:val="auto"/>
              </w:rPr>
            </w:pPr>
            <w:r>
              <w:rPr>
                <w:rFonts w:ascii="Arial" w:cs="Arial" w:eastAsia="Arial" w:hAnsi="Arial"/>
                <w:sz w:val="16"/>
                <w:szCs w:val="16"/>
                <w:color w:val="auto"/>
              </w:rPr>
              <w:t>ongoing engagement with</w:t>
            </w: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season; ongoing scheduled</w:t>
            </w:r>
          </w:p>
        </w:tc>
        <w:tc>
          <w:tcPr>
            <w:tcW w:w="460" w:type="dxa"/>
            <w:vAlign w:val="bottom"/>
          </w:tcPr>
          <w:p>
            <w:pPr>
              <w:spacing w:after="0"/>
              <w:rPr>
                <w:sz w:val="16"/>
                <w:szCs w:val="16"/>
                <w:color w:val="auto"/>
              </w:rPr>
            </w:pPr>
          </w:p>
        </w:tc>
        <w:tc>
          <w:tcPr>
            <w:tcW w:w="2420" w:type="dxa"/>
            <w:vAlign w:val="bottom"/>
            <w:shd w:val="clear" w:color="auto" w:fill="F1F2F2"/>
          </w:tcPr>
          <w:p>
            <w:pPr>
              <w:jc w:val="center"/>
              <w:spacing w:after="0"/>
              <w:rPr>
                <w:sz w:val="20"/>
                <w:szCs w:val="20"/>
                <w:color w:val="auto"/>
              </w:rPr>
            </w:pPr>
            <w:r>
              <w:rPr>
                <w:rFonts w:ascii="Arial" w:cs="Arial" w:eastAsia="Arial" w:hAnsi="Arial"/>
                <w:sz w:val="16"/>
                <w:szCs w:val="16"/>
                <w:color w:val="auto"/>
              </w:rPr>
              <w:t>and conferences.</w:t>
            </w:r>
          </w:p>
        </w:tc>
        <w:tc>
          <w:tcPr>
            <w:tcW w:w="460" w:type="dxa"/>
            <w:vAlign w:val="bottom"/>
          </w:tcPr>
          <w:p>
            <w:pPr>
              <w:spacing w:after="0"/>
              <w:rPr>
                <w:sz w:val="16"/>
                <w:szCs w:val="16"/>
                <w:color w:val="auto"/>
              </w:rPr>
            </w:pPr>
          </w:p>
        </w:tc>
        <w:tc>
          <w:tcPr>
            <w:tcW w:w="2520" w:type="dxa"/>
            <w:vAlign w:val="bottom"/>
            <w:gridSpan w:val="2"/>
            <w:shd w:val="clear" w:color="auto" w:fill="D4CFCD"/>
          </w:tcPr>
          <w:p>
            <w:pPr>
              <w:jc w:val="center"/>
              <w:spacing w:after="0"/>
              <w:rPr>
                <w:sz w:val="20"/>
                <w:szCs w:val="20"/>
                <w:color w:val="auto"/>
              </w:rPr>
            </w:pPr>
            <w:r>
              <w:rPr>
                <w:rFonts w:ascii="Arial" w:cs="Arial" w:eastAsia="Arial" w:hAnsi="Arial"/>
                <w:sz w:val="16"/>
                <w:szCs w:val="16"/>
                <w:color w:val="auto"/>
              </w:rPr>
              <w:t>shareholders at road shows</w:t>
            </w: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investor meetings and</w:t>
            </w:r>
          </w:p>
        </w:tc>
        <w:tc>
          <w:tcPr>
            <w:tcW w:w="460" w:type="dxa"/>
            <w:vAlign w:val="bottom"/>
          </w:tcPr>
          <w:p>
            <w:pPr>
              <w:spacing w:after="0"/>
              <w:rPr>
                <w:sz w:val="16"/>
                <w:szCs w:val="16"/>
                <w:color w:val="auto"/>
              </w:rPr>
            </w:pPr>
          </w:p>
        </w:tc>
        <w:tc>
          <w:tcPr>
            <w:tcW w:w="2420" w:type="dxa"/>
            <w:vAlign w:val="bottom"/>
            <w:shd w:val="clear" w:color="auto" w:fill="F1F2F2"/>
          </w:tcPr>
          <w:p>
            <w:pPr>
              <w:spacing w:after="0"/>
              <w:rPr>
                <w:sz w:val="16"/>
                <w:szCs w:val="16"/>
                <w:color w:val="auto"/>
              </w:rPr>
            </w:pPr>
          </w:p>
        </w:tc>
        <w:tc>
          <w:tcPr>
            <w:tcW w:w="460" w:type="dxa"/>
            <w:vAlign w:val="bottom"/>
          </w:tcPr>
          <w:p>
            <w:pPr>
              <w:spacing w:after="0"/>
              <w:rPr>
                <w:sz w:val="16"/>
                <w:szCs w:val="16"/>
                <w:color w:val="auto"/>
              </w:rPr>
            </w:pPr>
          </w:p>
        </w:tc>
        <w:tc>
          <w:tcPr>
            <w:tcW w:w="2520" w:type="dxa"/>
            <w:vAlign w:val="bottom"/>
            <w:gridSpan w:val="2"/>
            <w:shd w:val="clear" w:color="auto" w:fill="D4CFCD"/>
          </w:tcPr>
          <w:p>
            <w:pPr>
              <w:jc w:val="center"/>
              <w:spacing w:after="0"/>
              <w:rPr>
                <w:sz w:val="20"/>
                <w:szCs w:val="20"/>
                <w:color w:val="auto"/>
              </w:rPr>
            </w:pPr>
            <w:r>
              <w:rPr>
                <w:rFonts w:ascii="Arial" w:cs="Arial" w:eastAsia="Arial" w:hAnsi="Arial"/>
                <w:sz w:val="16"/>
                <w:szCs w:val="16"/>
                <w:color w:val="auto"/>
              </w:rPr>
              <w:t>and via investor calls.</w:t>
            </w: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discussions with</w:t>
            </w:r>
          </w:p>
        </w:tc>
        <w:tc>
          <w:tcPr>
            <w:tcW w:w="460" w:type="dxa"/>
            <w:vAlign w:val="bottom"/>
          </w:tcPr>
          <w:p>
            <w:pPr>
              <w:spacing w:after="0"/>
              <w:rPr>
                <w:sz w:val="16"/>
                <w:szCs w:val="16"/>
                <w:color w:val="auto"/>
              </w:rPr>
            </w:pPr>
          </w:p>
        </w:tc>
        <w:tc>
          <w:tcPr>
            <w:tcW w:w="2420" w:type="dxa"/>
            <w:vAlign w:val="bottom"/>
            <w:shd w:val="clear" w:color="auto" w:fill="F1F2F2"/>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Borders>
              <w:right w:val="single" w:sz="8" w:color="D4CFCD"/>
            </w:tcBorders>
            <w:shd w:val="clear" w:color="auto" w:fill="D4CFCD"/>
          </w:tcPr>
          <w:p>
            <w:pPr>
              <w:spacing w:after="0"/>
              <w:rPr>
                <w:sz w:val="16"/>
                <w:szCs w:val="16"/>
                <w:color w:val="auto"/>
              </w:rPr>
            </w:pPr>
          </w:p>
        </w:tc>
        <w:tc>
          <w:tcPr>
            <w:tcW w:w="1320" w:type="dxa"/>
            <w:vAlign w:val="bottom"/>
            <w:shd w:val="clear" w:color="auto" w:fill="D4CFC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shareholders on results,</w:t>
            </w:r>
          </w:p>
        </w:tc>
        <w:tc>
          <w:tcPr>
            <w:tcW w:w="460" w:type="dxa"/>
            <w:vAlign w:val="bottom"/>
          </w:tcPr>
          <w:p>
            <w:pPr>
              <w:spacing w:after="0"/>
              <w:rPr>
                <w:sz w:val="16"/>
                <w:szCs w:val="16"/>
                <w:color w:val="auto"/>
              </w:rPr>
            </w:pPr>
          </w:p>
        </w:tc>
        <w:tc>
          <w:tcPr>
            <w:tcW w:w="2420" w:type="dxa"/>
            <w:vAlign w:val="bottom"/>
            <w:shd w:val="clear" w:color="auto" w:fill="F1F2F2"/>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Borders>
              <w:right w:val="single" w:sz="8" w:color="D4CFCD"/>
            </w:tcBorders>
            <w:shd w:val="clear" w:color="auto" w:fill="D4CFCD"/>
          </w:tcPr>
          <w:p>
            <w:pPr>
              <w:spacing w:after="0"/>
              <w:rPr>
                <w:sz w:val="16"/>
                <w:szCs w:val="16"/>
                <w:color w:val="auto"/>
              </w:rPr>
            </w:pPr>
          </w:p>
        </w:tc>
        <w:tc>
          <w:tcPr>
            <w:tcW w:w="1320" w:type="dxa"/>
            <w:vAlign w:val="bottom"/>
            <w:shd w:val="clear" w:color="auto" w:fill="D4CFCD"/>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80" w:type="dxa"/>
            <w:vAlign w:val="bottom"/>
            <w:tcBorders>
              <w:right w:val="single" w:sz="8" w:color="FFE933"/>
            </w:tcBorders>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460" w:type="dxa"/>
            <w:vAlign w:val="bottom"/>
          </w:tcPr>
          <w:p>
            <w:pPr>
              <w:spacing w:after="0"/>
              <w:rPr>
                <w:sz w:val="16"/>
                <w:szCs w:val="16"/>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rPr>
              <w:t>sustainability, and other</w:t>
            </w:r>
          </w:p>
        </w:tc>
        <w:tc>
          <w:tcPr>
            <w:tcW w:w="460" w:type="dxa"/>
            <w:vAlign w:val="bottom"/>
          </w:tcPr>
          <w:p>
            <w:pPr>
              <w:spacing w:after="0"/>
              <w:rPr>
                <w:sz w:val="16"/>
                <w:szCs w:val="16"/>
                <w:color w:val="auto"/>
              </w:rPr>
            </w:pPr>
          </w:p>
        </w:tc>
        <w:tc>
          <w:tcPr>
            <w:tcW w:w="2420" w:type="dxa"/>
            <w:vAlign w:val="bottom"/>
            <w:shd w:val="clear" w:color="auto" w:fill="F1F2F2"/>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Borders>
              <w:right w:val="single" w:sz="8" w:color="D4CFCD"/>
            </w:tcBorders>
            <w:shd w:val="clear" w:color="auto" w:fill="D4CFCD"/>
          </w:tcPr>
          <w:p>
            <w:pPr>
              <w:spacing w:after="0"/>
              <w:rPr>
                <w:sz w:val="16"/>
                <w:szCs w:val="16"/>
                <w:color w:val="auto"/>
              </w:rPr>
            </w:pPr>
          </w:p>
        </w:tc>
        <w:tc>
          <w:tcPr>
            <w:tcW w:w="1320" w:type="dxa"/>
            <w:vAlign w:val="bottom"/>
            <w:shd w:val="clear" w:color="auto" w:fill="D4CFCD"/>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right w:val="single" w:sz="8" w:color="FFE933"/>
            </w:tcBorders>
            <w:shd w:val="clear" w:color="auto" w:fill="FFE933"/>
          </w:tcPr>
          <w:p>
            <w:pPr>
              <w:spacing w:after="0"/>
              <w:rPr>
                <w:sz w:val="18"/>
                <w:szCs w:val="18"/>
                <w:color w:val="auto"/>
              </w:rPr>
            </w:pPr>
          </w:p>
        </w:tc>
        <w:tc>
          <w:tcPr>
            <w:tcW w:w="1120" w:type="dxa"/>
            <w:vAlign w:val="bottom"/>
            <w:shd w:val="clear" w:color="auto" w:fill="FFE933"/>
          </w:tcPr>
          <w:p>
            <w:pPr>
              <w:spacing w:after="0"/>
              <w:rPr>
                <w:sz w:val="18"/>
                <w:szCs w:val="18"/>
                <w:color w:val="auto"/>
              </w:rPr>
            </w:pPr>
          </w:p>
        </w:tc>
        <w:tc>
          <w:tcPr>
            <w:tcW w:w="460" w:type="dxa"/>
            <w:vAlign w:val="bottom"/>
          </w:tcPr>
          <w:p>
            <w:pPr>
              <w:spacing w:after="0"/>
              <w:rPr>
                <w:sz w:val="18"/>
                <w:szCs w:val="18"/>
                <w:color w:val="auto"/>
              </w:rPr>
            </w:pPr>
          </w:p>
        </w:tc>
        <w:tc>
          <w:tcPr>
            <w:tcW w:w="2420" w:type="dxa"/>
            <w:vAlign w:val="bottom"/>
            <w:shd w:val="clear" w:color="auto" w:fill="2F8B9E"/>
          </w:tcPr>
          <w:p>
            <w:pPr>
              <w:jc w:val="center"/>
              <w:spacing w:after="0"/>
              <w:rPr>
                <w:sz w:val="20"/>
                <w:szCs w:val="20"/>
                <w:color w:val="auto"/>
              </w:rPr>
            </w:pPr>
            <w:r>
              <w:rPr>
                <w:rFonts w:ascii="Arial" w:cs="Arial" w:eastAsia="Arial" w:hAnsi="Arial"/>
                <w:sz w:val="16"/>
                <w:szCs w:val="16"/>
                <w:color w:val="FFFFFF"/>
                <w:w w:val="99"/>
              </w:rPr>
              <w:t>topics.</w:t>
            </w:r>
          </w:p>
        </w:tc>
        <w:tc>
          <w:tcPr>
            <w:tcW w:w="460" w:type="dxa"/>
            <w:vAlign w:val="bottom"/>
          </w:tcPr>
          <w:p>
            <w:pPr>
              <w:spacing w:after="0"/>
              <w:rPr>
                <w:sz w:val="18"/>
                <w:szCs w:val="18"/>
                <w:color w:val="auto"/>
              </w:rPr>
            </w:pPr>
          </w:p>
        </w:tc>
        <w:tc>
          <w:tcPr>
            <w:tcW w:w="2420" w:type="dxa"/>
            <w:vAlign w:val="bottom"/>
            <w:shd w:val="clear" w:color="auto" w:fill="F1F2F2"/>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tcBorders>
              <w:right w:val="single" w:sz="8" w:color="D4CFCD"/>
            </w:tcBorders>
            <w:shd w:val="clear" w:color="auto" w:fill="D4CFCD"/>
          </w:tcPr>
          <w:p>
            <w:pPr>
              <w:spacing w:after="0"/>
              <w:rPr>
                <w:sz w:val="18"/>
                <w:szCs w:val="18"/>
                <w:color w:val="auto"/>
              </w:rPr>
            </w:pPr>
          </w:p>
        </w:tc>
        <w:tc>
          <w:tcPr>
            <w:tcW w:w="1320" w:type="dxa"/>
            <w:vAlign w:val="bottom"/>
            <w:shd w:val="clear" w:color="auto" w:fill="D4CFCD"/>
          </w:tcPr>
          <w:p>
            <w:pPr>
              <w:spacing w:after="0"/>
              <w:rPr>
                <w:sz w:val="18"/>
                <w:szCs w:val="18"/>
                <w:color w:val="auto"/>
              </w:rPr>
            </w:pPr>
          </w:p>
        </w:tc>
        <w:tc>
          <w:tcPr>
            <w:tcW w:w="0" w:type="dxa"/>
            <w:vAlign w:val="bottom"/>
          </w:tcPr>
          <w:p>
            <w:pPr>
              <w:spacing w:after="0"/>
              <w:rPr>
                <w:sz w:val="1"/>
                <w:szCs w:val="1"/>
                <w:color w:val="auto"/>
              </w:rPr>
            </w:pPr>
          </w:p>
        </w:tc>
      </w:tr>
      <w:tr>
        <w:trPr>
          <w:trHeight w:val="70"/>
        </w:trPr>
        <w:tc>
          <w:tcPr>
            <w:tcW w:w="1380" w:type="dxa"/>
            <w:vAlign w:val="bottom"/>
            <w:tcBorders>
              <w:right w:val="single" w:sz="8" w:color="FFE933"/>
            </w:tcBorders>
            <w:shd w:val="clear" w:color="auto" w:fill="FFE933"/>
          </w:tcPr>
          <w:p>
            <w:pPr>
              <w:spacing w:after="0"/>
              <w:rPr>
                <w:sz w:val="6"/>
                <w:szCs w:val="6"/>
                <w:color w:val="auto"/>
              </w:rPr>
            </w:pPr>
          </w:p>
        </w:tc>
        <w:tc>
          <w:tcPr>
            <w:tcW w:w="1120" w:type="dxa"/>
            <w:vAlign w:val="bottom"/>
            <w:shd w:val="clear" w:color="auto" w:fill="FFE933"/>
          </w:tcPr>
          <w:p>
            <w:pPr>
              <w:spacing w:after="0"/>
              <w:rPr>
                <w:sz w:val="6"/>
                <w:szCs w:val="6"/>
                <w:color w:val="auto"/>
              </w:rPr>
            </w:pPr>
          </w:p>
        </w:tc>
        <w:tc>
          <w:tcPr>
            <w:tcW w:w="460" w:type="dxa"/>
            <w:vAlign w:val="bottom"/>
          </w:tcPr>
          <w:p>
            <w:pPr>
              <w:spacing w:after="0"/>
              <w:rPr>
                <w:sz w:val="6"/>
                <w:szCs w:val="6"/>
                <w:color w:val="auto"/>
              </w:rPr>
            </w:pPr>
          </w:p>
        </w:tc>
        <w:tc>
          <w:tcPr>
            <w:tcW w:w="2420" w:type="dxa"/>
            <w:vAlign w:val="bottom"/>
            <w:shd w:val="clear" w:color="auto" w:fill="2F8B9E"/>
          </w:tcPr>
          <w:p>
            <w:pPr>
              <w:spacing w:after="0"/>
              <w:rPr>
                <w:sz w:val="6"/>
                <w:szCs w:val="6"/>
                <w:color w:val="auto"/>
              </w:rPr>
            </w:pPr>
          </w:p>
        </w:tc>
        <w:tc>
          <w:tcPr>
            <w:tcW w:w="460" w:type="dxa"/>
            <w:vAlign w:val="bottom"/>
          </w:tcPr>
          <w:p>
            <w:pPr>
              <w:spacing w:after="0"/>
              <w:rPr>
                <w:sz w:val="6"/>
                <w:szCs w:val="6"/>
                <w:color w:val="auto"/>
              </w:rPr>
            </w:pPr>
          </w:p>
        </w:tc>
        <w:tc>
          <w:tcPr>
            <w:tcW w:w="2420" w:type="dxa"/>
            <w:vAlign w:val="bottom"/>
            <w:shd w:val="clear" w:color="auto" w:fill="F1F2F2"/>
          </w:tcPr>
          <w:p>
            <w:pPr>
              <w:spacing w:after="0"/>
              <w:rPr>
                <w:sz w:val="6"/>
                <w:szCs w:val="6"/>
                <w:color w:val="auto"/>
              </w:rPr>
            </w:pPr>
          </w:p>
        </w:tc>
        <w:tc>
          <w:tcPr>
            <w:tcW w:w="460" w:type="dxa"/>
            <w:vAlign w:val="bottom"/>
          </w:tcPr>
          <w:p>
            <w:pPr>
              <w:spacing w:after="0"/>
              <w:rPr>
                <w:sz w:val="6"/>
                <w:szCs w:val="6"/>
                <w:color w:val="auto"/>
              </w:rPr>
            </w:pPr>
          </w:p>
        </w:tc>
        <w:tc>
          <w:tcPr>
            <w:tcW w:w="1200" w:type="dxa"/>
            <w:vAlign w:val="bottom"/>
            <w:tcBorders>
              <w:right w:val="single" w:sz="8" w:color="D4CFCD"/>
            </w:tcBorders>
            <w:shd w:val="clear" w:color="auto" w:fill="D4CFCD"/>
          </w:tcPr>
          <w:p>
            <w:pPr>
              <w:spacing w:after="0"/>
              <w:rPr>
                <w:sz w:val="6"/>
                <w:szCs w:val="6"/>
                <w:color w:val="auto"/>
              </w:rPr>
            </w:pPr>
          </w:p>
        </w:tc>
        <w:tc>
          <w:tcPr>
            <w:tcW w:w="1320" w:type="dxa"/>
            <w:vAlign w:val="bottom"/>
            <w:shd w:val="clear" w:color="auto" w:fill="D4CFCD"/>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3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1380" w:type="dxa"/>
            <w:vAlign w:val="bottom"/>
            <w:tcBorders>
              <w:right w:val="single" w:sz="8" w:color="2F8B9E"/>
            </w:tcBorders>
          </w:tcPr>
          <w:p>
            <w:pPr>
              <w:spacing w:after="0"/>
              <w:rPr>
                <w:sz w:val="17"/>
                <w:szCs w:val="17"/>
                <w:color w:val="auto"/>
              </w:rPr>
            </w:pPr>
          </w:p>
        </w:tc>
        <w:tc>
          <w:tcPr>
            <w:tcW w:w="1120" w:type="dxa"/>
            <w:vAlign w:val="bottom"/>
            <w:tcBorders>
              <w:bottom w:val="single" w:sz="8" w:color="2F8B9E"/>
            </w:tcBorders>
          </w:tcPr>
          <w:p>
            <w:pPr>
              <w:spacing w:after="0"/>
              <w:rPr>
                <w:sz w:val="17"/>
                <w:szCs w:val="17"/>
                <w:color w:val="auto"/>
              </w:rPr>
            </w:pPr>
          </w:p>
        </w:tc>
        <w:tc>
          <w:tcPr>
            <w:tcW w:w="460" w:type="dxa"/>
            <w:vAlign w:val="bottom"/>
            <w:tcBorders>
              <w:bottom w:val="single" w:sz="8" w:color="2F8B9E"/>
            </w:tcBorders>
          </w:tcPr>
          <w:p>
            <w:pPr>
              <w:spacing w:after="0"/>
              <w:rPr>
                <w:sz w:val="17"/>
                <w:szCs w:val="17"/>
                <w:color w:val="auto"/>
              </w:rPr>
            </w:pPr>
          </w:p>
        </w:tc>
        <w:tc>
          <w:tcPr>
            <w:tcW w:w="2420" w:type="dxa"/>
            <w:vAlign w:val="bottom"/>
            <w:tcBorders>
              <w:bottom w:val="single" w:sz="8" w:color="2F8B9E"/>
            </w:tcBorders>
          </w:tcPr>
          <w:p>
            <w:pPr>
              <w:spacing w:after="0"/>
              <w:rPr>
                <w:sz w:val="17"/>
                <w:szCs w:val="17"/>
                <w:color w:val="auto"/>
              </w:rPr>
            </w:pPr>
          </w:p>
        </w:tc>
        <w:tc>
          <w:tcPr>
            <w:tcW w:w="460" w:type="dxa"/>
            <w:vAlign w:val="bottom"/>
            <w:tcBorders>
              <w:bottom w:val="single" w:sz="8" w:color="2F8B9E"/>
            </w:tcBorders>
          </w:tcPr>
          <w:p>
            <w:pPr>
              <w:spacing w:after="0"/>
              <w:rPr>
                <w:sz w:val="17"/>
                <w:szCs w:val="17"/>
                <w:color w:val="auto"/>
              </w:rPr>
            </w:pPr>
          </w:p>
        </w:tc>
        <w:tc>
          <w:tcPr>
            <w:tcW w:w="2420" w:type="dxa"/>
            <w:vAlign w:val="bottom"/>
            <w:tcBorders>
              <w:bottom w:val="single" w:sz="8" w:color="2F8B9E"/>
            </w:tcBorders>
          </w:tcPr>
          <w:p>
            <w:pPr>
              <w:spacing w:after="0"/>
              <w:rPr>
                <w:sz w:val="17"/>
                <w:szCs w:val="17"/>
                <w:color w:val="auto"/>
              </w:rPr>
            </w:pPr>
          </w:p>
        </w:tc>
        <w:tc>
          <w:tcPr>
            <w:tcW w:w="460" w:type="dxa"/>
            <w:vAlign w:val="bottom"/>
            <w:tcBorders>
              <w:bottom w:val="single" w:sz="8" w:color="2F8B9E"/>
            </w:tcBorders>
          </w:tcPr>
          <w:p>
            <w:pPr>
              <w:spacing w:after="0"/>
              <w:rPr>
                <w:sz w:val="17"/>
                <w:szCs w:val="17"/>
                <w:color w:val="auto"/>
              </w:rPr>
            </w:pPr>
          </w:p>
        </w:tc>
        <w:tc>
          <w:tcPr>
            <w:tcW w:w="1200" w:type="dxa"/>
            <w:vAlign w:val="bottom"/>
            <w:tcBorders>
              <w:bottom w:val="single" w:sz="8" w:color="2F8B9E"/>
              <w:right w:val="single" w:sz="8" w:color="2F8B9E"/>
            </w:tcBorders>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-1019810</wp:posOffset>
            </wp:positionV>
            <wp:extent cx="59690" cy="10287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9690" cy="10287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-1019810</wp:posOffset>
            </wp:positionV>
            <wp:extent cx="60325" cy="10287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10287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-1019810</wp:posOffset>
            </wp:positionV>
            <wp:extent cx="60325" cy="10287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325" cy="10287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Communications with Directors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Shareholders and interested parties may communicate with the full Board, the Lead Director, the non-management Directors as a group, or with individual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Directors by using either of the following methods:</w:t>
      </w:r>
    </w:p>
    <w:p>
      <w:pPr>
        <w:sectPr>
          <w:pgSz w:w="11900" w:h="16838" w:orient="portrait"/>
          <w:cols w:equalWidth="0" w:num="1">
            <w:col w:w="11240"/>
          </w:cols>
          <w:pgMar w:left="320" w:top="238" w:right="339" w:bottom="1440" w:gutter="0" w:footer="0" w:header="0"/>
        </w:sectPr>
      </w:pP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By Writing:</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Hubbell Incorporated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 Katherine A. Lane, Executive Vice President, General Counsel and Secretary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40 Waterview Drive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Shelton, Connecticut 06484</w:t>
      </w:r>
    </w:p>
    <w:p>
      <w:pPr>
        <w:spacing w:after="0" w:line="178" w:lineRule="exact"/>
        <w:rPr>
          <w:sz w:val="20"/>
          <w:szCs w:val="20"/>
          <w:color w:val="auto"/>
        </w:rPr>
      </w:pPr>
    </w:p>
    <w:p>
      <w:pPr>
        <w:sectPr>
          <w:pgSz w:w="11900" w:h="16838" w:orient="portrait"/>
          <w:cols w:equalWidth="0" w:num="2">
            <w:col w:w="980" w:space="720"/>
            <w:col w:w="9540"/>
          </w:cols>
          <w:pgMar w:left="320" w:top="238" w:right="339" w:bottom="1440" w:gutter="0" w:footer="0" w:header="0"/>
          <w:type w:val="continuous"/>
        </w:sectPr>
      </w:pPr>
    </w:p>
    <w:p>
      <w:pPr>
        <w:spacing w:after="0"/>
        <w:rPr>
          <w:sz w:val="20"/>
          <w:szCs w:val="20"/>
          <w:color w:val="auto"/>
        </w:rPr>
      </w:pPr>
      <w:r>
        <w:rPr>
          <w:rFonts w:ascii="Arial" w:cs="Arial" w:eastAsia="Arial" w:hAnsi="Arial"/>
          <w:sz w:val="16"/>
          <w:szCs w:val="16"/>
          <w:color w:val="auto"/>
        </w:rPr>
        <w:t>By 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Secretary@hubbell.com</w:t>
      </w:r>
    </w:p>
    <w:p>
      <w:pPr>
        <w:spacing w:after="0" w:line="194" w:lineRule="exact"/>
        <w:rPr>
          <w:sz w:val="20"/>
          <w:szCs w:val="20"/>
          <w:color w:val="auto"/>
        </w:rPr>
      </w:pPr>
    </w:p>
    <w:p>
      <w:pPr>
        <w:sectPr>
          <w:pgSz w:w="11900" w:h="16838" w:orient="portrait"/>
          <w:cols w:equalWidth="0" w:num="2">
            <w:col w:w="980" w:space="720"/>
            <w:col w:w="9540"/>
          </w:cols>
          <w:pgMar w:left="320" w:top="238" w:right="339" w:bottom="1440" w:gutter="0" w:footer="0" w:header="0"/>
          <w:type w:val="continuous"/>
        </w:sectPr>
      </w:pPr>
    </w:p>
    <w:p>
      <w:pPr>
        <w:jc w:val="both"/>
        <w:spacing w:after="0" w:line="259" w:lineRule="auto"/>
        <w:rPr>
          <w:sz w:val="20"/>
          <w:szCs w:val="20"/>
          <w:color w:val="auto"/>
        </w:rPr>
      </w:pPr>
      <w:r>
        <w:rPr>
          <w:rFonts w:ascii="Arial" w:cs="Arial" w:eastAsia="Arial" w:hAnsi="Arial"/>
          <w:sz w:val="16"/>
          <w:szCs w:val="16"/>
          <w:color w:val="auto"/>
        </w:rPr>
        <w:t>Communications will be forwarded to the specific Director(s) requested by the interested party, as applicable. General communications will be distributed to the full Board or to a specific member of the Board depending on the substance of the communication. Certain items unrelated to the duties and responsibilities of the Board will not be forwarded, including job inquiries and resumes, business opportunities, junk or mass mailings, spam, or any hostile, improper, threatening, or illegal communications.</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Meetings and Attendance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Board of Directors held 8 meetings in 2025. Each Director attended 100% of all meetings of the Board of Directors and close to 100% of the committees on which such Director served. Board members are expected to attend the Annual Meeting of Shareholders. At the 2025 Annual Meeting, all Directors then in office were in attendance.</w:t>
      </w:r>
    </w:p>
    <w:p>
      <w:pPr>
        <w:spacing w:after="0" w:line="12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Additional Resources</w:t>
      </w:r>
    </w:p>
    <w:p>
      <w:pPr>
        <w:spacing w:after="0" w:line="21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 xml:space="preserve">The Corporate Governance Guidelines and the following additional materials relating to corporate governance are published on our website at </w:t>
      </w:r>
      <w:r>
        <w:rPr>
          <w:rFonts w:ascii="Arial" w:cs="Arial" w:eastAsia="Arial" w:hAnsi="Arial"/>
          <w:sz w:val="16"/>
          <w:szCs w:val="16"/>
          <w:b w:val="1"/>
          <w:bCs w:val="1"/>
          <w:color w:val="auto"/>
        </w:rPr>
        <w:t>www.hubbell.com</w:t>
      </w:r>
      <w:r>
        <w:rPr>
          <w:rFonts w:ascii="Arial" w:cs="Arial" w:eastAsia="Arial" w:hAnsi="Arial"/>
          <w:sz w:val="26"/>
          <w:szCs w:val="26"/>
          <w:color w:val="auto"/>
          <w:vertAlign w:val="superscript"/>
        </w:rPr>
        <w:t>(1)</w:t>
      </w:r>
      <w:r>
        <w:rPr>
          <w:rFonts w:ascii="Arial" w:cs="Arial" w:eastAsia="Arial" w:hAnsi="Arial"/>
          <w:sz w:val="16"/>
          <w:szCs w:val="16"/>
          <w:color w:val="auto"/>
        </w:rPr>
        <w:t>.</w:t>
      </w:r>
    </w:p>
    <w:p>
      <w:pPr>
        <w:spacing w:after="0" w:line="18" w:lineRule="exact"/>
        <w:rPr>
          <w:sz w:val="20"/>
          <w:szCs w:val="20"/>
          <w:color w:val="auto"/>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Board of Directors - Current Members and Experience</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Board Committees - Members and Charters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Code of Business Conduct and Ethics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Third-Party Code of Business Conduct and Ethics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Amended and Restated By-Laws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Amended and Restated Certificate of Incorporation</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Compensation Recovery Policy</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Stock Ownership and Retention Policy</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Sustainability Report and Site</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38"/>
        </w:numPr>
        <w:rPr>
          <w:rFonts w:ascii="Arial" w:cs="Arial" w:eastAsia="Arial" w:hAnsi="Arial"/>
          <w:sz w:val="16"/>
          <w:szCs w:val="16"/>
          <w:color w:val="2F8B9E"/>
        </w:rPr>
      </w:pPr>
      <w:r>
        <w:rPr>
          <w:rFonts w:ascii="Arial" w:cs="Arial" w:eastAsia="Arial" w:hAnsi="Arial"/>
          <w:sz w:val="16"/>
          <w:szCs w:val="16"/>
          <w:color w:val="auto"/>
        </w:rPr>
        <w:t>Contacting our Board of Directors</w:t>
      </w:r>
    </w:p>
    <w:p>
      <w:pPr>
        <w:spacing w:after="0" w:line="201" w:lineRule="exact"/>
        <w:rPr>
          <w:sz w:val="20"/>
          <w:szCs w:val="20"/>
          <w:color w:val="auto"/>
        </w:rPr>
      </w:pPr>
    </w:p>
    <w:p>
      <w:pPr>
        <w:ind w:left="340" w:hanging="332"/>
        <w:spacing w:after="0" w:line="192" w:lineRule="auto"/>
        <w:tabs>
          <w:tab w:leader="none" w:pos="340" w:val="left"/>
        </w:tabs>
        <w:numPr>
          <w:ilvl w:val="0"/>
          <w:numId w:val="39"/>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reference to our website address does not constitute incorporation by reference of the information contained on the website, and such information is not part of this Proxy Statement.</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30</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58"/>
          <w:szCs w:val="58"/>
          <w:color w:val="auto"/>
        </w:rPr>
        <w:t xml:space="preserve">Sustainability at </w:t>
      </w:r>
      <w:r>
        <w:rPr>
          <w:rFonts w:ascii="Arial" w:cs="Arial" w:eastAsia="Arial" w:hAnsi="Arial"/>
          <w:sz w:val="58"/>
          <w:szCs w:val="58"/>
          <w:b w:val="1"/>
          <w:bCs w:val="1"/>
          <w:color w:val="auto"/>
        </w:rPr>
        <w:t>Hubbell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43180" cy="419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43180" cy="419735"/>
                    </a:xfrm>
                    <a:prstGeom prst="rect">
                      <a:avLst/>
                    </a:prstGeom>
                    <a:noFill/>
                  </pic:spPr>
                </pic:pic>
              </a:graphicData>
            </a:graphic>
          </wp:anchor>
        </w:drawing>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Hubbell, sustainability is more than a core value—it is foundational to our Vision and Mission. From our products to our operations, we strive to embed sustainability into every aspect of our business to build a more resilient future that benefits communities and the planet. Hubbell’s enterprise-wide environmental goals help focus our actions, setting clear targets to minimize our environmental footprint and manage resources responsibly.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0435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60"/>
        <w:spacing w:after="0"/>
        <w:rPr>
          <w:sz w:val="20"/>
          <w:szCs w:val="20"/>
          <w:color w:val="auto"/>
        </w:rPr>
      </w:pPr>
      <w:r>
        <w:rPr>
          <w:rFonts w:ascii="Arial" w:cs="Arial" w:eastAsia="Arial" w:hAnsi="Arial"/>
          <w:sz w:val="29"/>
          <w:szCs w:val="29"/>
          <w:b w:val="1"/>
          <w:bCs w:val="1"/>
          <w:color w:val="auto"/>
        </w:rPr>
        <w:t>Hubbell’s Annual Sustainability Report</w:t>
      </w:r>
    </w:p>
    <w:p>
      <w:pPr>
        <w:spacing w:after="0" w:line="226" w:lineRule="exact"/>
        <w:rPr>
          <w:sz w:val="20"/>
          <w:szCs w:val="20"/>
          <w:color w:val="auto"/>
        </w:rPr>
      </w:pPr>
    </w:p>
    <w:p>
      <w:pPr>
        <w:ind w:left="3460" w:right="220"/>
        <w:spacing w:after="0" w:line="224" w:lineRule="auto"/>
        <w:rPr>
          <w:sz w:val="20"/>
          <w:szCs w:val="20"/>
          <w:color w:val="auto"/>
        </w:rPr>
      </w:pPr>
      <w:r>
        <w:rPr>
          <w:rFonts w:ascii="Arial" w:cs="Arial" w:eastAsia="Arial" w:hAnsi="Arial"/>
          <w:sz w:val="18"/>
          <w:szCs w:val="18"/>
          <w:color w:val="auto"/>
        </w:rPr>
        <w:t xml:space="preserve">In 2026, we published our sixth annual sustainability report </w:t>
      </w:r>
      <w:r>
        <w:rPr>
          <w:rFonts w:ascii="Arial" w:cs="Arial" w:eastAsia="Arial" w:hAnsi="Arial"/>
          <w:sz w:val="29"/>
          <w:szCs w:val="29"/>
          <w:color w:val="auto"/>
          <w:vertAlign w:val="superscript"/>
        </w:rPr>
        <w:t>(2)</w:t>
      </w:r>
      <w:r>
        <w:rPr>
          <w:rFonts w:ascii="Arial" w:cs="Arial" w:eastAsia="Arial" w:hAnsi="Arial"/>
          <w:sz w:val="18"/>
          <w:szCs w:val="18"/>
          <w:color w:val="auto"/>
        </w:rPr>
        <w:t xml:space="preserve"> (available at </w:t>
      </w:r>
      <w:r>
        <w:rPr>
          <w:rFonts w:ascii="Arial" w:cs="Arial" w:eastAsia="Arial" w:hAnsi="Arial"/>
          <w:sz w:val="18"/>
          <w:szCs w:val="18"/>
          <w:b w:val="1"/>
          <w:bCs w:val="1"/>
          <w:color w:val="auto"/>
        </w:rPr>
        <w:t>www.hubbell.com</w:t>
      </w:r>
      <w:r>
        <w:rPr>
          <w:rFonts w:ascii="Arial" w:cs="Arial" w:eastAsia="Arial" w:hAnsi="Arial"/>
          <w:sz w:val="18"/>
          <w:szCs w:val="18"/>
          <w:color w:val="auto"/>
        </w:rPr>
        <w:t>) which is aligned with leading sustainability frameworks. The publication of this report reflects our dedication to delivering transparent, credible, and actionable information to our stakeholders. We invite you to review the report to learn about our progress across our sustainability priority areas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Hubbell’s Products with Impact</w:t>
      </w:r>
    </w:p>
    <w:p>
      <w:pPr>
        <w:spacing w:after="0" w:line="21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Hubbell’s Products with Impact help customers achieve both business and sustainability outcomes by supporting the transition to a more energy efficient, resilient, and lower-carbon future. Each solution in this portfolio supports at least one of the following key impact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556895" cy="5575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56895" cy="55753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90805</wp:posOffset>
            </wp:positionV>
            <wp:extent cx="557530" cy="55753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57530" cy="557530"/>
                    </a:xfrm>
                    <a:prstGeom prst="rect">
                      <a:avLst/>
                    </a:prstGeom>
                    <a:noFill/>
                  </pic:spPr>
                </pic:pic>
              </a:graphicData>
            </a:graphic>
          </wp:anchor>
        </w:drawing>
      </w:r>
    </w:p>
    <w:p>
      <w:pPr>
        <w:spacing w:after="0" w:line="123" w:lineRule="exact"/>
        <w:rPr>
          <w:sz w:val="20"/>
          <w:szCs w:val="20"/>
          <w:color w:val="auto"/>
        </w:rPr>
      </w:pPr>
    </w:p>
    <w:tbl>
      <w:tblPr>
        <w:tblLayout w:type="fixed"/>
        <w:tblInd w:w="880" w:type="dxa"/>
        <w:tblCellMar>
          <w:top w:w="0" w:type="dxa"/>
          <w:left w:w="0" w:type="dxa"/>
          <w:bottom w:w="0" w:type="dxa"/>
          <w:right w:w="0" w:type="dxa"/>
        </w:tblCellMar>
      </w:tblPr>
      <w:tr>
        <w:trPr>
          <w:trHeight w:val="404"/>
        </w:trPr>
        <w:tc>
          <w:tcPr>
            <w:tcW w:w="4520" w:type="dxa"/>
            <w:vAlign w:val="bottom"/>
            <w:shd w:val="clear" w:color="auto" w:fill="F1F2F2"/>
          </w:tcPr>
          <w:p>
            <w:pPr>
              <w:ind w:left="180"/>
              <w:spacing w:after="0"/>
              <w:rPr>
                <w:sz w:val="20"/>
                <w:szCs w:val="20"/>
                <w:color w:val="auto"/>
              </w:rPr>
            </w:pPr>
            <w:r>
              <w:rPr>
                <w:rFonts w:ascii="Arial" w:cs="Arial" w:eastAsia="Arial" w:hAnsi="Arial"/>
                <w:sz w:val="22"/>
                <w:szCs w:val="22"/>
                <w:b w:val="1"/>
                <w:bCs w:val="1"/>
                <w:color w:val="auto"/>
              </w:rPr>
              <w:t>GRID HARDENING</w:t>
            </w:r>
          </w:p>
        </w:tc>
        <w:tc>
          <w:tcPr>
            <w:tcW w:w="1280" w:type="dxa"/>
            <w:vAlign w:val="bottom"/>
          </w:tcPr>
          <w:p>
            <w:pPr>
              <w:spacing w:after="0"/>
              <w:rPr>
                <w:sz w:val="24"/>
                <w:szCs w:val="24"/>
                <w:color w:val="auto"/>
              </w:rPr>
            </w:pPr>
          </w:p>
        </w:tc>
        <w:tc>
          <w:tcPr>
            <w:tcW w:w="4560" w:type="dxa"/>
            <w:vAlign w:val="bottom"/>
            <w:vMerge w:val="restart"/>
            <w:shd w:val="clear" w:color="auto" w:fill="F1F2F2"/>
          </w:tcPr>
          <w:p>
            <w:pPr>
              <w:ind w:left="180"/>
              <w:spacing w:after="0"/>
              <w:rPr>
                <w:sz w:val="20"/>
                <w:szCs w:val="20"/>
                <w:color w:val="auto"/>
              </w:rPr>
            </w:pPr>
            <w:r>
              <w:rPr>
                <w:rFonts w:ascii="Arial" w:cs="Arial" w:eastAsia="Arial" w:hAnsi="Arial"/>
                <w:sz w:val="22"/>
                <w:szCs w:val="22"/>
                <w:b w:val="1"/>
                <w:bCs w:val="1"/>
                <w:color w:val="auto"/>
              </w:rPr>
              <w:t>RESOURCE EFFICIENCY</w:t>
            </w:r>
          </w:p>
        </w:tc>
        <w:tc>
          <w:tcPr>
            <w:tcW w:w="0" w:type="dxa"/>
            <w:vAlign w:val="bottom"/>
          </w:tcPr>
          <w:p>
            <w:pPr>
              <w:spacing w:after="0"/>
              <w:rPr>
                <w:sz w:val="1"/>
                <w:szCs w:val="1"/>
                <w:color w:val="auto"/>
              </w:rPr>
            </w:pPr>
          </w:p>
        </w:tc>
      </w:tr>
      <w:tr>
        <w:trPr>
          <w:trHeight w:val="176"/>
        </w:trPr>
        <w:tc>
          <w:tcPr>
            <w:tcW w:w="4520" w:type="dxa"/>
            <w:vAlign w:val="bottom"/>
            <w:vMerge w:val="restart"/>
            <w:shd w:val="clear" w:color="auto" w:fill="F1F2F2"/>
          </w:tcPr>
          <w:p>
            <w:pPr>
              <w:ind w:left="180"/>
              <w:spacing w:after="0"/>
              <w:rPr>
                <w:sz w:val="20"/>
                <w:szCs w:val="20"/>
                <w:color w:val="auto"/>
              </w:rPr>
            </w:pPr>
            <w:r>
              <w:rPr>
                <w:rFonts w:ascii="Arial" w:cs="Arial" w:eastAsia="Arial" w:hAnsi="Arial"/>
                <w:sz w:val="22"/>
                <w:szCs w:val="22"/>
                <w:b w:val="1"/>
                <w:bCs w:val="1"/>
                <w:color w:val="auto"/>
              </w:rPr>
              <w:t>&amp; MODERNIZATION</w:t>
            </w:r>
          </w:p>
        </w:tc>
        <w:tc>
          <w:tcPr>
            <w:tcW w:w="1280" w:type="dxa"/>
            <w:vAlign w:val="bottom"/>
          </w:tcPr>
          <w:p>
            <w:pPr>
              <w:spacing w:after="0"/>
              <w:rPr>
                <w:sz w:val="15"/>
                <w:szCs w:val="15"/>
                <w:color w:val="auto"/>
              </w:rPr>
            </w:pPr>
          </w:p>
        </w:tc>
        <w:tc>
          <w:tcPr>
            <w:tcW w:w="4560" w:type="dxa"/>
            <w:vAlign w:val="bottom"/>
            <w:vMerge w:val="continue"/>
            <w:shd w:val="clear" w:color="auto" w:fill="F1F2F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520" w:type="dxa"/>
            <w:vAlign w:val="bottom"/>
            <w:vMerge w:val="continue"/>
            <w:shd w:val="clear" w:color="auto" w:fill="F1F2F2"/>
          </w:tcPr>
          <w:p>
            <w:pPr>
              <w:spacing w:after="0"/>
              <w:rPr>
                <w:sz w:val="10"/>
                <w:szCs w:val="10"/>
                <w:color w:val="auto"/>
              </w:rPr>
            </w:pPr>
          </w:p>
        </w:tc>
        <w:tc>
          <w:tcPr>
            <w:tcW w:w="1280" w:type="dxa"/>
            <w:vAlign w:val="bottom"/>
          </w:tcPr>
          <w:p>
            <w:pPr>
              <w:spacing w:after="0"/>
              <w:rPr>
                <w:sz w:val="10"/>
                <w:szCs w:val="10"/>
                <w:color w:val="auto"/>
              </w:rPr>
            </w:pPr>
          </w:p>
        </w:tc>
        <w:tc>
          <w:tcPr>
            <w:tcW w:w="4560" w:type="dxa"/>
            <w:vAlign w:val="bottom"/>
            <w:shd w:val="clear" w:color="auto" w:fill="F1F2F2"/>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4520" w:type="dxa"/>
            <w:vAlign w:val="bottom"/>
            <w:shd w:val="clear" w:color="auto" w:fill="F1F2F2"/>
          </w:tcPr>
          <w:p>
            <w:pPr>
              <w:spacing w:after="0"/>
              <w:rPr>
                <w:sz w:val="15"/>
                <w:szCs w:val="15"/>
                <w:color w:val="auto"/>
              </w:rPr>
            </w:pPr>
          </w:p>
        </w:tc>
        <w:tc>
          <w:tcPr>
            <w:tcW w:w="1280" w:type="dxa"/>
            <w:vAlign w:val="bottom"/>
          </w:tcPr>
          <w:p>
            <w:pPr>
              <w:spacing w:after="0"/>
              <w:rPr>
                <w:sz w:val="15"/>
                <w:szCs w:val="15"/>
                <w:color w:val="auto"/>
              </w:rPr>
            </w:pPr>
          </w:p>
        </w:tc>
        <w:tc>
          <w:tcPr>
            <w:tcW w:w="4560" w:type="dxa"/>
            <w:vAlign w:val="bottom"/>
            <w:shd w:val="clear" w:color="auto" w:fill="F1F2F2"/>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5575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ind w:left="1060"/>
        <w:spacing w:after="0"/>
        <w:tabs>
          <w:tab w:leader="none" w:pos="6840" w:val="left"/>
        </w:tabs>
        <w:rPr>
          <w:sz w:val="20"/>
          <w:szCs w:val="20"/>
          <w:color w:val="auto"/>
        </w:rPr>
      </w:pPr>
      <w:r>
        <w:rPr>
          <w:rFonts w:ascii="Arial" w:cs="Arial" w:eastAsia="Arial" w:hAnsi="Arial"/>
          <w:sz w:val="22"/>
          <w:szCs w:val="22"/>
          <w:b w:val="1"/>
          <w:bCs w:val="1"/>
          <w:color w:val="auto"/>
        </w:rPr>
        <w:t>RENEWABLE ENERGY</w:t>
      </w:r>
      <w:r>
        <w:rPr>
          <w:sz w:val="20"/>
          <w:szCs w:val="20"/>
          <w:color w:val="auto"/>
        </w:rPr>
        <w:tab/>
      </w:r>
      <w:r>
        <w:rPr>
          <w:rFonts w:ascii="Arial" w:cs="Arial" w:eastAsia="Arial" w:hAnsi="Arial"/>
          <w:sz w:val="21"/>
          <w:szCs w:val="21"/>
          <w:b w:val="1"/>
          <w:bCs w:val="1"/>
          <w:color w:val="auto"/>
        </w:rPr>
        <w:t>ELECTRIFICATION</w:t>
      </w:r>
    </w:p>
    <w:p>
      <w:pPr>
        <w:spacing w:after="0" w:line="329"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Goals are compared to Hubbell's 2022 baseline of each applicable metric.</w:t>
      </w:r>
    </w:p>
    <w:p>
      <w:pPr>
        <w:spacing w:after="0" w:line="66" w:lineRule="exact"/>
        <w:rPr>
          <w:rFonts w:ascii="Arial" w:cs="Arial" w:eastAsia="Arial" w:hAnsi="Arial"/>
          <w:sz w:val="24"/>
          <w:szCs w:val="24"/>
          <w:i w:val="1"/>
          <w:iCs w:val="1"/>
          <w:color w:val="auto"/>
          <w:vertAlign w:val="superscript"/>
        </w:rPr>
      </w:pPr>
    </w:p>
    <w:p>
      <w:pPr>
        <w:jc w:val="both"/>
        <w:ind w:left="460" w:hanging="452"/>
        <w:spacing w:after="0" w:line="215" w:lineRule="auto"/>
        <w:tabs>
          <w:tab w:leader="none" w:pos="460" w:val="left"/>
        </w:tabs>
        <w:numPr>
          <w:ilvl w:val="0"/>
          <w:numId w:val="4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information within the 2026 Sustainability Report (available at www.hubbell.com), and any other information on the Company’s sustainability webpage that Hubbell may refer to herein is not incorporated by reference into and does not form any part of this Proxy Statement. Any targets or goals discussed in our sustainability disclosures and within this Proxy Statement may be aspirational, and as such, no guarantees or promises are made that these goals will be met. Furthermore, statistics and metrics disclosed in this Proxy Statement, our sustainability reports, and Hubbell’s sustainability webpage are estimates and may be based on assumptions. We are under no obligation to update such information.</w:t>
      </w:r>
    </w:p>
    <w:p>
      <w:pPr>
        <w:spacing w:after="0" w:line="129"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color w:val="auto"/>
        </w:rPr>
        <w:t>2026 PROXY STATEMENT</w:t>
      </w:r>
      <w:r>
        <w:rPr>
          <w:sz w:val="20"/>
          <w:szCs w:val="20"/>
          <w:color w:val="auto"/>
        </w:rPr>
        <w:tab/>
      </w:r>
      <w:r>
        <w:rPr>
          <w:rFonts w:ascii="Arial" w:cs="Arial" w:eastAsia="Arial" w:hAnsi="Arial"/>
          <w:sz w:val="16"/>
          <w:szCs w:val="16"/>
          <w:b w:val="1"/>
          <w:bCs w:val="1"/>
          <w:color w:val="FFE933"/>
        </w:rPr>
        <w:t>|</w:t>
      </w:r>
      <w:r>
        <w:rPr>
          <w:rFonts w:ascii="Arial" w:cs="Arial" w:eastAsia="Arial" w:hAnsi="Arial"/>
          <w:sz w:val="16"/>
          <w:szCs w:val="16"/>
          <w:b w:val="1"/>
          <w:bCs w:val="1"/>
          <w:color w:val="auto"/>
        </w:rPr>
        <w:tab/>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58"/>
          <w:szCs w:val="58"/>
          <w:color w:val="auto"/>
        </w:rPr>
        <w:t xml:space="preserve">Director </w:t>
      </w:r>
      <w:r>
        <w:rPr>
          <w:rFonts w:ascii="Arial" w:cs="Arial" w:eastAsia="Arial" w:hAnsi="Arial"/>
          <w:sz w:val="58"/>
          <w:szCs w:val="5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43180" cy="419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43180" cy="419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3771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The Board’s independent compensation consultant reviews and benchmarks Director compensation with the NCGC every other year.</w:t>
      </w:r>
    </w:p>
    <w:p>
      <w:pPr>
        <w:spacing w:after="0" w:line="37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NCGC annually reviews all forms of independent Director compensation paid to Directors. Biennially, the NCGC benchmarks Director compensation and recommends changes to the Board when appropriate, with the most recent review occurring in December 2025. The NCGC is supported in this benchmarking review by Exequity LLP (“Exequity”), an independent outside compensation consultant engaged by the NCGC, which provides compensation benchmarking and analysis. The NCGC targets Director compensation at the median of the same peer group used to evaluate the competitiveness of Hubbell’s executive compensation levels. The NCGC also reviews Director compensation in relation to general industry companies similar to Hubbell in terms of revenue size as a secondary reference.</w:t>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Elements of Compensation</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December 2025, following its biennial review, the Board of Directors, upon the recommendation of the NCGC and further supported by Exequity, decided to maintain the value of total Director compensation as reflected in the table below until the 2026 Annual Meeting of Shareholders and then increase the Director compensation amounts as set forth more fully below. The Board’s decision to increase Director compensation amounts was based on the NCGC’s recommendation after its review of the compensation benchmarking work presented by Exequity and is intended to ensure that the Board can continue to attract and retain talented Directors for future Board refreshment purposes.</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color w:val="auto"/>
        </w:rPr>
        <w:t>Annual Compensation for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6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Compensation Component</w:t>
            </w:r>
          </w:p>
        </w:tc>
        <w:tc>
          <w:tcPr>
            <w:tcW w:w="7980" w:type="dxa"/>
            <w:vAlign w:val="bottom"/>
            <w:gridSpan w:val="3"/>
            <w:shd w:val="clear" w:color="auto" w:fill="FFE933"/>
          </w:tcPr>
          <w:p>
            <w:pPr>
              <w:ind w:left="700"/>
              <w:spacing w:after="0"/>
              <w:rPr>
                <w:sz w:val="20"/>
                <w:szCs w:val="20"/>
                <w:color w:val="auto"/>
              </w:rPr>
            </w:pPr>
            <w:r>
              <w:rPr>
                <w:rFonts w:ascii="Arial" w:cs="Arial" w:eastAsia="Arial" w:hAnsi="Arial"/>
                <w:sz w:val="16"/>
                <w:szCs w:val="16"/>
                <w:b w:val="1"/>
                <w:bCs w:val="1"/>
                <w:color w:val="auto"/>
              </w:rPr>
              <w:t>Cash Payment or Value of Equity</w:t>
            </w:r>
          </w:p>
        </w:tc>
      </w:tr>
      <w:tr>
        <w:trPr>
          <w:trHeight w:val="239"/>
        </w:trPr>
        <w:tc>
          <w:tcPr>
            <w:tcW w:w="326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Board Service</w:t>
            </w:r>
          </w:p>
        </w:tc>
        <w:tc>
          <w:tcPr>
            <w:tcW w:w="1580" w:type="dxa"/>
            <w:vAlign w:val="bottom"/>
            <w:tcBorders>
              <w:bottom w:val="single" w:sz="8" w:color="BCBEC0"/>
            </w:tcBorders>
          </w:tcPr>
          <w:p>
            <w:pPr>
              <w:spacing w:after="0"/>
              <w:rPr>
                <w:sz w:val="20"/>
                <w:szCs w:val="20"/>
                <w:color w:val="auto"/>
              </w:rPr>
            </w:pPr>
          </w:p>
        </w:tc>
        <w:tc>
          <w:tcPr>
            <w:tcW w:w="1360" w:type="dxa"/>
            <w:vAlign w:val="bottom"/>
            <w:tcBorders>
              <w:bottom w:val="single" w:sz="8" w:color="BCBEC0"/>
            </w:tcBorders>
          </w:tcPr>
          <w:p>
            <w:pPr>
              <w:spacing w:after="0"/>
              <w:rPr>
                <w:sz w:val="20"/>
                <w:szCs w:val="20"/>
                <w:color w:val="auto"/>
              </w:rPr>
            </w:pPr>
          </w:p>
        </w:tc>
        <w:tc>
          <w:tcPr>
            <w:tcW w:w="5040" w:type="dxa"/>
            <w:vAlign w:val="bottom"/>
          </w:tcPr>
          <w:p>
            <w:pPr>
              <w:spacing w:after="0"/>
              <w:rPr>
                <w:sz w:val="20"/>
                <w:szCs w:val="20"/>
                <w:color w:val="auto"/>
              </w:rPr>
            </w:pPr>
          </w:p>
        </w:tc>
      </w:tr>
      <w:tr>
        <w:trPr>
          <w:trHeight w:val="281"/>
        </w:trPr>
        <w:tc>
          <w:tcPr>
            <w:tcW w:w="3260" w:type="dxa"/>
            <w:vAlign w:val="bottom"/>
            <w:tcBorders>
              <w:bottom w:val="single" w:sz="8" w:color="BCBEC0"/>
            </w:tcBorders>
          </w:tcPr>
          <w:p>
            <w:pPr>
              <w:ind w:left="180"/>
              <w:spacing w:after="0" w:line="281" w:lineRule="exact"/>
              <w:rPr>
                <w:sz w:val="20"/>
                <w:szCs w:val="20"/>
                <w:color w:val="auto"/>
              </w:rPr>
            </w:pPr>
            <w:r>
              <w:rPr>
                <w:rFonts w:ascii="Arial" w:cs="Arial" w:eastAsia="Arial" w:hAnsi="Arial"/>
                <w:sz w:val="16"/>
                <w:szCs w:val="16"/>
                <w:color w:val="auto"/>
              </w:rPr>
              <w:t>Annual Board Retainer</w:t>
            </w:r>
            <w:r>
              <w:rPr>
                <w:rFonts w:ascii="Arial" w:cs="Arial" w:eastAsia="Arial" w:hAnsi="Arial"/>
                <w:sz w:val="26"/>
                <w:szCs w:val="26"/>
                <w:color w:val="auto"/>
                <w:vertAlign w:val="superscript"/>
              </w:rPr>
              <w:t>(1)(2)</w:t>
            </w:r>
          </w:p>
        </w:tc>
        <w:tc>
          <w:tcPr>
            <w:tcW w:w="1580" w:type="dxa"/>
            <w:vAlign w:val="bottom"/>
            <w:tcBorders>
              <w:bottom w:val="single" w:sz="8" w:color="BCBEC0"/>
            </w:tcBorders>
          </w:tcPr>
          <w:p>
            <w:pPr>
              <w:ind w:left="700"/>
              <w:spacing w:after="0"/>
              <w:rPr>
                <w:sz w:val="20"/>
                <w:szCs w:val="20"/>
                <w:color w:val="auto"/>
              </w:rPr>
            </w:pPr>
            <w:r>
              <w:rPr>
                <w:rFonts w:ascii="Arial" w:cs="Arial" w:eastAsia="Arial" w:hAnsi="Arial"/>
                <w:sz w:val="16"/>
                <w:szCs w:val="16"/>
                <w:color w:val="auto"/>
              </w:rPr>
              <w:t>$100,000</w:t>
            </w:r>
          </w:p>
        </w:tc>
        <w:tc>
          <w:tcPr>
            <w:tcW w:w="1360" w:type="dxa"/>
            <w:vAlign w:val="bottom"/>
            <w:tcBorders>
              <w:bottom w:val="single" w:sz="8" w:color="BCBEC0"/>
            </w:tcBorders>
          </w:tcPr>
          <w:p>
            <w:pPr>
              <w:spacing w:after="0"/>
              <w:rPr>
                <w:sz w:val="24"/>
                <w:szCs w:val="24"/>
                <w:color w:val="auto"/>
              </w:rPr>
            </w:pPr>
          </w:p>
        </w:tc>
        <w:tc>
          <w:tcPr>
            <w:tcW w:w="5040" w:type="dxa"/>
            <w:vAlign w:val="bottom"/>
          </w:tcPr>
          <w:p>
            <w:pPr>
              <w:spacing w:after="0"/>
              <w:rPr>
                <w:sz w:val="24"/>
                <w:szCs w:val="24"/>
                <w:color w:val="auto"/>
              </w:rPr>
            </w:pPr>
          </w:p>
        </w:tc>
      </w:tr>
      <w:tr>
        <w:trPr>
          <w:trHeight w:val="277"/>
        </w:trPr>
        <w:tc>
          <w:tcPr>
            <w:tcW w:w="3260" w:type="dxa"/>
            <w:vAlign w:val="bottom"/>
            <w:tcBorders>
              <w:bottom w:val="single" w:sz="8" w:color="BCBEC0"/>
            </w:tcBorders>
          </w:tcPr>
          <w:p>
            <w:pPr>
              <w:ind w:left="180"/>
              <w:spacing w:after="0" w:line="277" w:lineRule="exact"/>
              <w:rPr>
                <w:sz w:val="20"/>
                <w:szCs w:val="20"/>
                <w:color w:val="auto"/>
              </w:rPr>
            </w:pPr>
            <w:r>
              <w:rPr>
                <w:rFonts w:ascii="Arial" w:cs="Arial" w:eastAsia="Arial" w:hAnsi="Arial"/>
                <w:sz w:val="16"/>
                <w:szCs w:val="16"/>
                <w:color w:val="auto"/>
              </w:rPr>
              <w:t>Annual Restricted Share Grant</w:t>
            </w:r>
            <w:r>
              <w:rPr>
                <w:rFonts w:ascii="Arial" w:cs="Arial" w:eastAsia="Arial" w:hAnsi="Arial"/>
                <w:sz w:val="26"/>
                <w:szCs w:val="26"/>
                <w:color w:val="auto"/>
                <w:vertAlign w:val="superscript"/>
              </w:rPr>
              <w:t>(3)</w:t>
            </w:r>
          </w:p>
        </w:tc>
        <w:tc>
          <w:tcPr>
            <w:tcW w:w="1580" w:type="dxa"/>
            <w:vAlign w:val="bottom"/>
            <w:tcBorders>
              <w:bottom w:val="single" w:sz="8" w:color="BCBEC0"/>
            </w:tcBorders>
          </w:tcPr>
          <w:p>
            <w:pPr>
              <w:ind w:left="700"/>
              <w:spacing w:after="0"/>
              <w:rPr>
                <w:sz w:val="20"/>
                <w:szCs w:val="20"/>
                <w:color w:val="auto"/>
              </w:rPr>
            </w:pPr>
            <w:r>
              <w:rPr>
                <w:rFonts w:ascii="Arial" w:cs="Arial" w:eastAsia="Arial" w:hAnsi="Arial"/>
                <w:sz w:val="16"/>
                <w:szCs w:val="16"/>
                <w:color w:val="auto"/>
              </w:rPr>
              <w:t>$160,000</w:t>
            </w:r>
          </w:p>
        </w:tc>
        <w:tc>
          <w:tcPr>
            <w:tcW w:w="1360" w:type="dxa"/>
            <w:vAlign w:val="bottom"/>
            <w:tcBorders>
              <w:bottom w:val="single" w:sz="8" w:color="BCBEC0"/>
            </w:tcBorders>
          </w:tcPr>
          <w:p>
            <w:pPr>
              <w:spacing w:after="0"/>
              <w:rPr>
                <w:sz w:val="24"/>
                <w:szCs w:val="24"/>
                <w:color w:val="auto"/>
              </w:rPr>
            </w:pPr>
          </w:p>
        </w:tc>
        <w:tc>
          <w:tcPr>
            <w:tcW w:w="5040" w:type="dxa"/>
            <w:vAlign w:val="bottom"/>
          </w:tcPr>
          <w:p>
            <w:pPr>
              <w:spacing w:after="0"/>
              <w:rPr>
                <w:sz w:val="24"/>
                <w:szCs w:val="24"/>
                <w:color w:val="auto"/>
              </w:rPr>
            </w:pPr>
          </w:p>
        </w:tc>
      </w:tr>
      <w:tr>
        <w:trPr>
          <w:trHeight w:val="277"/>
        </w:trPr>
        <w:tc>
          <w:tcPr>
            <w:tcW w:w="3260" w:type="dxa"/>
            <w:vAlign w:val="bottom"/>
            <w:tcBorders>
              <w:bottom w:val="single" w:sz="8" w:color="BCBEC0"/>
            </w:tcBorders>
          </w:tcPr>
          <w:p>
            <w:pPr>
              <w:ind w:left="180"/>
              <w:spacing w:after="0" w:line="277" w:lineRule="exact"/>
              <w:rPr>
                <w:sz w:val="20"/>
                <w:szCs w:val="20"/>
                <w:color w:val="auto"/>
              </w:rPr>
            </w:pPr>
            <w:r>
              <w:rPr>
                <w:rFonts w:ascii="Arial" w:cs="Arial" w:eastAsia="Arial" w:hAnsi="Arial"/>
                <w:sz w:val="16"/>
                <w:szCs w:val="16"/>
                <w:color w:val="auto"/>
              </w:rPr>
              <w:t>Lead Director Retainer</w:t>
            </w:r>
            <w:r>
              <w:rPr>
                <w:rFonts w:ascii="Arial" w:cs="Arial" w:eastAsia="Arial" w:hAnsi="Arial"/>
                <w:sz w:val="26"/>
                <w:szCs w:val="26"/>
                <w:color w:val="auto"/>
                <w:vertAlign w:val="superscript"/>
              </w:rPr>
              <w:t>(4)</w:t>
            </w:r>
          </w:p>
        </w:tc>
        <w:tc>
          <w:tcPr>
            <w:tcW w:w="1580" w:type="dxa"/>
            <w:vAlign w:val="bottom"/>
            <w:tcBorders>
              <w:bottom w:val="single" w:sz="8" w:color="BCBEC0"/>
            </w:tcBorders>
          </w:tcPr>
          <w:p>
            <w:pPr>
              <w:ind w:left="700"/>
              <w:spacing w:after="0"/>
              <w:rPr>
                <w:sz w:val="20"/>
                <w:szCs w:val="20"/>
                <w:color w:val="auto"/>
              </w:rPr>
            </w:pPr>
            <w:r>
              <w:rPr>
                <w:rFonts w:ascii="Arial" w:cs="Arial" w:eastAsia="Arial" w:hAnsi="Arial"/>
                <w:sz w:val="16"/>
                <w:szCs w:val="16"/>
                <w:color w:val="auto"/>
              </w:rPr>
              <w:t>$30,000</w:t>
            </w:r>
          </w:p>
        </w:tc>
        <w:tc>
          <w:tcPr>
            <w:tcW w:w="1360" w:type="dxa"/>
            <w:vAlign w:val="bottom"/>
            <w:tcBorders>
              <w:bottom w:val="single" w:sz="8" w:color="BCBEC0"/>
            </w:tcBorders>
          </w:tcPr>
          <w:p>
            <w:pPr>
              <w:spacing w:after="0"/>
              <w:rPr>
                <w:sz w:val="24"/>
                <w:szCs w:val="24"/>
                <w:color w:val="auto"/>
              </w:rPr>
            </w:pPr>
          </w:p>
        </w:tc>
        <w:tc>
          <w:tcPr>
            <w:tcW w:w="5040" w:type="dxa"/>
            <w:vAlign w:val="bottom"/>
          </w:tcPr>
          <w:p>
            <w:pPr>
              <w:spacing w:after="0"/>
              <w:rPr>
                <w:sz w:val="24"/>
                <w:szCs w:val="24"/>
                <w:color w:val="auto"/>
              </w:rPr>
            </w:pPr>
          </w:p>
        </w:tc>
      </w:tr>
      <w:tr>
        <w:trPr>
          <w:trHeight w:val="233"/>
        </w:trPr>
        <w:tc>
          <w:tcPr>
            <w:tcW w:w="326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Committee Service</w:t>
            </w:r>
          </w:p>
        </w:tc>
        <w:tc>
          <w:tcPr>
            <w:tcW w:w="1580" w:type="dxa"/>
            <w:vAlign w:val="bottom"/>
            <w:tcBorders>
              <w:bottom w:val="single" w:sz="8" w:color="BCBEC0"/>
            </w:tcBorders>
          </w:tcPr>
          <w:p>
            <w:pPr>
              <w:spacing w:after="0"/>
              <w:rPr>
                <w:sz w:val="20"/>
                <w:szCs w:val="20"/>
                <w:color w:val="auto"/>
              </w:rPr>
            </w:pPr>
          </w:p>
        </w:tc>
        <w:tc>
          <w:tcPr>
            <w:tcW w:w="1360" w:type="dxa"/>
            <w:vAlign w:val="bottom"/>
            <w:tcBorders>
              <w:bottom w:val="single" w:sz="8" w:color="BCBEC0"/>
            </w:tcBorders>
          </w:tcPr>
          <w:p>
            <w:pPr>
              <w:spacing w:after="0"/>
              <w:rPr>
                <w:sz w:val="20"/>
                <w:szCs w:val="20"/>
                <w:color w:val="auto"/>
              </w:rPr>
            </w:pPr>
          </w:p>
        </w:tc>
        <w:tc>
          <w:tcPr>
            <w:tcW w:w="5040" w:type="dxa"/>
            <w:vAlign w:val="bottom"/>
          </w:tcPr>
          <w:p>
            <w:pPr>
              <w:spacing w:after="0"/>
              <w:rPr>
                <w:sz w:val="20"/>
                <w:szCs w:val="20"/>
                <w:color w:val="auto"/>
              </w:rPr>
            </w:pPr>
          </w:p>
        </w:tc>
      </w:tr>
      <w:tr>
        <w:trPr>
          <w:trHeight w:val="281"/>
        </w:trPr>
        <w:tc>
          <w:tcPr>
            <w:tcW w:w="3260" w:type="dxa"/>
            <w:vAlign w:val="bottom"/>
          </w:tcPr>
          <w:p>
            <w:pPr>
              <w:ind w:left="180"/>
              <w:spacing w:after="0" w:line="281" w:lineRule="exact"/>
              <w:rPr>
                <w:sz w:val="20"/>
                <w:szCs w:val="20"/>
                <w:color w:val="auto"/>
              </w:rPr>
            </w:pPr>
            <w:r>
              <w:rPr>
                <w:rFonts w:ascii="Arial" w:cs="Arial" w:eastAsia="Arial" w:hAnsi="Arial"/>
                <w:sz w:val="16"/>
                <w:szCs w:val="16"/>
                <w:color w:val="auto"/>
              </w:rPr>
              <w:t>Committee Annual Retainer</w:t>
            </w:r>
            <w:r>
              <w:rPr>
                <w:rFonts w:ascii="Arial" w:cs="Arial" w:eastAsia="Arial" w:hAnsi="Arial"/>
                <w:sz w:val="26"/>
                <w:szCs w:val="26"/>
                <w:color w:val="auto"/>
                <w:vertAlign w:val="superscript"/>
              </w:rPr>
              <w:t>(2)</w:t>
            </w:r>
          </w:p>
        </w:tc>
        <w:tc>
          <w:tcPr>
            <w:tcW w:w="1580" w:type="dxa"/>
            <w:vAlign w:val="bottom"/>
          </w:tcPr>
          <w:p>
            <w:pPr>
              <w:ind w:left="700"/>
              <w:spacing w:after="0" w:line="281" w:lineRule="exact"/>
              <w:rPr>
                <w:sz w:val="20"/>
                <w:szCs w:val="20"/>
                <w:color w:val="auto"/>
              </w:rPr>
            </w:pPr>
            <w:r>
              <w:rPr>
                <w:rFonts w:ascii="Arial" w:cs="Arial" w:eastAsia="Arial" w:hAnsi="Arial"/>
                <w:sz w:val="16"/>
                <w:szCs w:val="16"/>
                <w:b w:val="1"/>
                <w:bCs w:val="1"/>
                <w:color w:val="auto"/>
              </w:rPr>
              <w:t>Chair</w:t>
            </w:r>
            <w:r>
              <w:rPr>
                <w:rFonts w:ascii="Arial" w:cs="Arial" w:eastAsia="Arial" w:hAnsi="Arial"/>
                <w:sz w:val="26"/>
                <w:szCs w:val="26"/>
                <w:b w:val="1"/>
                <w:bCs w:val="1"/>
                <w:color w:val="auto"/>
                <w:vertAlign w:val="superscript"/>
              </w:rPr>
              <w:t>(5)</w:t>
            </w:r>
          </w:p>
        </w:tc>
        <w:tc>
          <w:tcPr>
            <w:tcW w:w="6400" w:type="dxa"/>
            <w:vAlign w:val="bottom"/>
            <w:gridSpan w:val="2"/>
          </w:tcPr>
          <w:p>
            <w:pPr>
              <w:ind w:left="240"/>
              <w:spacing w:after="0"/>
              <w:rPr>
                <w:sz w:val="20"/>
                <w:szCs w:val="20"/>
                <w:color w:val="auto"/>
              </w:rPr>
            </w:pPr>
            <w:r>
              <w:rPr>
                <w:rFonts w:ascii="Arial" w:cs="Arial" w:eastAsia="Arial" w:hAnsi="Arial"/>
                <w:sz w:val="16"/>
                <w:szCs w:val="16"/>
                <w:b w:val="1"/>
                <w:bCs w:val="1"/>
                <w:color w:val="auto"/>
              </w:rPr>
              <w:t>Member</w:t>
            </w:r>
          </w:p>
        </w:tc>
      </w:tr>
      <w:tr>
        <w:trPr>
          <w:trHeight w:val="230"/>
        </w:trPr>
        <w:tc>
          <w:tcPr>
            <w:tcW w:w="3260" w:type="dxa"/>
            <w:vAlign w:val="bottom"/>
            <w:tcBorders>
              <w:top w:val="single" w:sz="8" w:color="BCBEC0"/>
              <w:bottom w:val="single" w:sz="8" w:color="BCBEC0"/>
            </w:tcBorders>
          </w:tcPr>
          <w:p>
            <w:pPr>
              <w:ind w:left="180"/>
              <w:spacing w:after="0"/>
              <w:rPr>
                <w:sz w:val="20"/>
                <w:szCs w:val="20"/>
                <w:color w:val="auto"/>
              </w:rPr>
            </w:pPr>
            <w:r>
              <w:rPr>
                <w:rFonts w:ascii="Arial" w:cs="Arial" w:eastAsia="Arial" w:hAnsi="Arial"/>
                <w:sz w:val="16"/>
                <w:szCs w:val="16"/>
                <w:color w:val="auto"/>
              </w:rPr>
              <w:t>Audit Committee</w:t>
            </w:r>
          </w:p>
        </w:tc>
        <w:tc>
          <w:tcPr>
            <w:tcW w:w="1580" w:type="dxa"/>
            <w:vAlign w:val="bottom"/>
            <w:tcBorders>
              <w:top w:val="single" w:sz="8" w:color="BCBEC0"/>
              <w:bottom w:val="single" w:sz="8" w:color="BCBEC0"/>
            </w:tcBorders>
          </w:tcPr>
          <w:p>
            <w:pPr>
              <w:ind w:left="700"/>
              <w:spacing w:after="0"/>
              <w:rPr>
                <w:sz w:val="20"/>
                <w:szCs w:val="20"/>
                <w:color w:val="auto"/>
              </w:rPr>
            </w:pPr>
            <w:r>
              <w:rPr>
                <w:rFonts w:ascii="Arial" w:cs="Arial" w:eastAsia="Arial" w:hAnsi="Arial"/>
                <w:sz w:val="16"/>
                <w:szCs w:val="16"/>
                <w:color w:val="auto"/>
              </w:rPr>
              <w:t>$20,000</w:t>
            </w:r>
          </w:p>
        </w:tc>
        <w:tc>
          <w:tcPr>
            <w:tcW w:w="1360" w:type="dxa"/>
            <w:vAlign w:val="bottom"/>
            <w:tcBorders>
              <w:top w:val="single" w:sz="8" w:color="BCBEC0"/>
              <w:bottom w:val="single" w:sz="8" w:color="BCBEC0"/>
            </w:tcBorders>
          </w:tcPr>
          <w:p>
            <w:pPr>
              <w:ind w:left="240"/>
              <w:spacing w:after="0"/>
              <w:rPr>
                <w:sz w:val="20"/>
                <w:szCs w:val="20"/>
                <w:color w:val="auto"/>
              </w:rPr>
            </w:pPr>
            <w:r>
              <w:rPr>
                <w:rFonts w:ascii="Arial" w:cs="Arial" w:eastAsia="Arial" w:hAnsi="Arial"/>
                <w:sz w:val="16"/>
                <w:szCs w:val="16"/>
                <w:color w:val="auto"/>
              </w:rPr>
              <w:t>$10,000</w:t>
            </w:r>
          </w:p>
        </w:tc>
        <w:tc>
          <w:tcPr>
            <w:tcW w:w="5040" w:type="dxa"/>
            <w:vAlign w:val="bottom"/>
          </w:tcPr>
          <w:p>
            <w:pPr>
              <w:spacing w:after="0"/>
              <w:rPr>
                <w:sz w:val="20"/>
                <w:szCs w:val="20"/>
                <w:color w:val="auto"/>
              </w:rPr>
            </w:pPr>
          </w:p>
        </w:tc>
      </w:tr>
      <w:tr>
        <w:trPr>
          <w:trHeight w:val="236"/>
        </w:trPr>
        <w:tc>
          <w:tcPr>
            <w:tcW w:w="326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Compensation Committee</w:t>
            </w:r>
          </w:p>
        </w:tc>
        <w:tc>
          <w:tcPr>
            <w:tcW w:w="1580" w:type="dxa"/>
            <w:vAlign w:val="bottom"/>
            <w:tcBorders>
              <w:bottom w:val="single" w:sz="8" w:color="BCBEC0"/>
            </w:tcBorders>
          </w:tcPr>
          <w:p>
            <w:pPr>
              <w:ind w:left="700"/>
              <w:spacing w:after="0"/>
              <w:rPr>
                <w:sz w:val="20"/>
                <w:szCs w:val="20"/>
                <w:color w:val="auto"/>
              </w:rPr>
            </w:pPr>
            <w:r>
              <w:rPr>
                <w:rFonts w:ascii="Arial" w:cs="Arial" w:eastAsia="Arial" w:hAnsi="Arial"/>
                <w:sz w:val="16"/>
                <w:szCs w:val="16"/>
                <w:color w:val="auto"/>
              </w:rPr>
              <w:t>$15,000</w:t>
            </w:r>
          </w:p>
        </w:tc>
        <w:tc>
          <w:tcPr>
            <w:tcW w:w="13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$7,000</w:t>
            </w:r>
          </w:p>
        </w:tc>
        <w:tc>
          <w:tcPr>
            <w:tcW w:w="5040" w:type="dxa"/>
            <w:vAlign w:val="bottom"/>
          </w:tcPr>
          <w:p>
            <w:pPr>
              <w:spacing w:after="0"/>
              <w:rPr>
                <w:sz w:val="20"/>
                <w:szCs w:val="20"/>
                <w:color w:val="auto"/>
              </w:rPr>
            </w:pPr>
          </w:p>
        </w:tc>
      </w:tr>
      <w:tr>
        <w:trPr>
          <w:trHeight w:val="237"/>
        </w:trPr>
        <w:tc>
          <w:tcPr>
            <w:tcW w:w="326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Finance Committee</w:t>
            </w:r>
          </w:p>
        </w:tc>
        <w:tc>
          <w:tcPr>
            <w:tcW w:w="1580" w:type="dxa"/>
            <w:vAlign w:val="bottom"/>
            <w:tcBorders>
              <w:bottom w:val="single" w:sz="8" w:color="BCBEC0"/>
            </w:tcBorders>
          </w:tcPr>
          <w:p>
            <w:pPr>
              <w:ind w:left="700"/>
              <w:spacing w:after="0"/>
              <w:rPr>
                <w:sz w:val="20"/>
                <w:szCs w:val="20"/>
                <w:color w:val="auto"/>
              </w:rPr>
            </w:pPr>
            <w:r>
              <w:rPr>
                <w:rFonts w:ascii="Arial" w:cs="Arial" w:eastAsia="Arial" w:hAnsi="Arial"/>
                <w:sz w:val="16"/>
                <w:szCs w:val="16"/>
                <w:color w:val="auto"/>
              </w:rPr>
              <w:t>$13,000</w:t>
            </w:r>
          </w:p>
        </w:tc>
        <w:tc>
          <w:tcPr>
            <w:tcW w:w="13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$5,000</w:t>
            </w:r>
          </w:p>
        </w:tc>
        <w:tc>
          <w:tcPr>
            <w:tcW w:w="5040" w:type="dxa"/>
            <w:vAlign w:val="bottom"/>
          </w:tcPr>
          <w:p>
            <w:pPr>
              <w:spacing w:after="0"/>
              <w:rPr>
                <w:sz w:val="20"/>
                <w:szCs w:val="20"/>
                <w:color w:val="auto"/>
              </w:rPr>
            </w:pPr>
          </w:p>
        </w:tc>
      </w:tr>
      <w:tr>
        <w:trPr>
          <w:trHeight w:val="236"/>
        </w:trPr>
        <w:tc>
          <w:tcPr>
            <w:tcW w:w="326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NCGC</w:t>
            </w:r>
          </w:p>
        </w:tc>
        <w:tc>
          <w:tcPr>
            <w:tcW w:w="1580" w:type="dxa"/>
            <w:vAlign w:val="bottom"/>
            <w:tcBorders>
              <w:bottom w:val="single" w:sz="8" w:color="BCBEC0"/>
            </w:tcBorders>
          </w:tcPr>
          <w:p>
            <w:pPr>
              <w:ind w:left="700"/>
              <w:spacing w:after="0"/>
              <w:rPr>
                <w:sz w:val="20"/>
                <w:szCs w:val="20"/>
                <w:color w:val="auto"/>
              </w:rPr>
            </w:pPr>
            <w:r>
              <w:rPr>
                <w:rFonts w:ascii="Arial" w:cs="Arial" w:eastAsia="Arial" w:hAnsi="Arial"/>
                <w:sz w:val="16"/>
                <w:szCs w:val="16"/>
                <w:color w:val="auto"/>
              </w:rPr>
              <w:t>$13,000</w:t>
            </w:r>
          </w:p>
        </w:tc>
        <w:tc>
          <w:tcPr>
            <w:tcW w:w="136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$5,000</w:t>
            </w:r>
          </w:p>
        </w:tc>
        <w:tc>
          <w:tcPr>
            <w:tcW w:w="5040" w:type="dxa"/>
            <w:vAlign w:val="bottom"/>
          </w:tcPr>
          <w:p>
            <w:pPr>
              <w:spacing w:after="0"/>
              <w:rPr>
                <w:sz w:val="20"/>
                <w:szCs w:val="20"/>
                <w:color w:val="auto"/>
              </w:rPr>
            </w:pPr>
          </w:p>
        </w:tc>
      </w:tr>
      <w:tr>
        <w:trPr>
          <w:trHeight w:val="237"/>
        </w:trPr>
        <w:tc>
          <w:tcPr>
            <w:tcW w:w="326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Board/Committee Meeting Fees</w:t>
            </w:r>
          </w:p>
        </w:tc>
        <w:tc>
          <w:tcPr>
            <w:tcW w:w="1580" w:type="dxa"/>
            <w:vAlign w:val="bottom"/>
            <w:tcBorders>
              <w:bottom w:val="single" w:sz="8" w:color="BCBEC0"/>
            </w:tcBorders>
          </w:tcPr>
          <w:p>
            <w:pPr>
              <w:ind w:left="700"/>
              <w:spacing w:after="0"/>
              <w:rPr>
                <w:sz w:val="20"/>
                <w:szCs w:val="20"/>
                <w:color w:val="auto"/>
              </w:rPr>
            </w:pPr>
            <w:r>
              <w:rPr>
                <w:rFonts w:ascii="Arial" w:cs="Arial" w:eastAsia="Arial" w:hAnsi="Arial"/>
                <w:sz w:val="16"/>
                <w:szCs w:val="16"/>
                <w:color w:val="auto"/>
              </w:rPr>
              <w:t>None</w:t>
            </w:r>
          </w:p>
        </w:tc>
        <w:tc>
          <w:tcPr>
            <w:tcW w:w="1360" w:type="dxa"/>
            <w:vAlign w:val="bottom"/>
            <w:tcBorders>
              <w:bottom w:val="single" w:sz="8" w:color="BCBEC0"/>
            </w:tcBorders>
          </w:tcPr>
          <w:p>
            <w:pPr>
              <w:spacing w:after="0"/>
              <w:rPr>
                <w:sz w:val="20"/>
                <w:szCs w:val="20"/>
                <w:color w:val="auto"/>
              </w:rPr>
            </w:pPr>
          </w:p>
        </w:tc>
        <w:tc>
          <w:tcPr>
            <w:tcW w:w="5040" w:type="dxa"/>
            <w:vAlign w:val="bottom"/>
            <w:tcBorders>
              <w:bottom w:val="single" w:sz="8" w:color="BCBEC0"/>
            </w:tcBorders>
          </w:tcPr>
          <w:p>
            <w:pPr>
              <w:spacing w:after="0"/>
              <w:rPr>
                <w:sz w:val="20"/>
                <w:szCs w:val="20"/>
                <w:color w:val="auto"/>
              </w:rPr>
            </w:pPr>
          </w:p>
        </w:tc>
      </w:tr>
      <w:tr>
        <w:trPr>
          <w:trHeight w:val="216"/>
        </w:trPr>
        <w:tc>
          <w:tcPr>
            <w:tcW w:w="3260" w:type="dxa"/>
            <w:vAlign w:val="bottom"/>
          </w:tcPr>
          <w:p>
            <w:pPr>
              <w:ind w:left="180"/>
              <w:spacing w:after="0" w:line="216" w:lineRule="exact"/>
              <w:rPr>
                <w:sz w:val="20"/>
                <w:szCs w:val="20"/>
                <w:color w:val="auto"/>
              </w:rPr>
            </w:pPr>
            <w:r>
              <w:rPr>
                <w:rFonts w:ascii="Arial" w:cs="Arial" w:eastAsia="Arial" w:hAnsi="Arial"/>
                <w:sz w:val="16"/>
                <w:szCs w:val="16"/>
                <w:color w:val="auto"/>
              </w:rPr>
              <w:t>Discretionary Fee</w:t>
            </w:r>
            <w:r>
              <w:rPr>
                <w:rFonts w:ascii="Arial" w:cs="Arial" w:eastAsia="Arial" w:hAnsi="Arial"/>
                <w:sz w:val="25"/>
                <w:szCs w:val="25"/>
                <w:color w:val="auto"/>
                <w:vertAlign w:val="superscript"/>
              </w:rPr>
              <w:t>(6)</w:t>
            </w:r>
          </w:p>
        </w:tc>
        <w:tc>
          <w:tcPr>
            <w:tcW w:w="7980" w:type="dxa"/>
            <w:vAlign w:val="bottom"/>
            <w:gridSpan w:val="3"/>
          </w:tcPr>
          <w:p>
            <w:pPr>
              <w:ind w:left="700"/>
              <w:spacing w:after="0"/>
              <w:rPr>
                <w:sz w:val="20"/>
                <w:szCs w:val="20"/>
                <w:color w:val="auto"/>
              </w:rPr>
            </w:pPr>
            <w:r>
              <w:rPr>
                <w:rFonts w:ascii="Arial" w:cs="Arial" w:eastAsia="Arial" w:hAnsi="Arial"/>
                <w:sz w:val="16"/>
                <w:szCs w:val="16"/>
                <w:color w:val="auto"/>
              </w:rPr>
              <w:t>Upon NCGC recommendation and consent of the Chairman of the Board, fees may be paid for</w:t>
            </w:r>
          </w:p>
        </w:tc>
      </w:tr>
      <w:tr>
        <w:trPr>
          <w:trHeight w:val="191"/>
        </w:trPr>
        <w:tc>
          <w:tcPr>
            <w:tcW w:w="3260" w:type="dxa"/>
            <w:vAlign w:val="bottom"/>
          </w:tcPr>
          <w:p>
            <w:pPr>
              <w:spacing w:after="0"/>
              <w:rPr>
                <w:sz w:val="16"/>
                <w:szCs w:val="16"/>
                <w:color w:val="auto"/>
              </w:rPr>
            </w:pPr>
          </w:p>
        </w:tc>
        <w:tc>
          <w:tcPr>
            <w:tcW w:w="7980" w:type="dxa"/>
            <w:vAlign w:val="bottom"/>
            <w:gridSpan w:val="3"/>
          </w:tcPr>
          <w:p>
            <w:pPr>
              <w:ind w:left="700"/>
              <w:spacing w:after="0"/>
              <w:rPr>
                <w:sz w:val="20"/>
                <w:szCs w:val="20"/>
                <w:color w:val="auto"/>
              </w:rPr>
            </w:pPr>
            <w:r>
              <w:rPr>
                <w:rFonts w:ascii="Arial" w:cs="Arial" w:eastAsia="Arial" w:hAnsi="Arial"/>
                <w:sz w:val="16"/>
                <w:szCs w:val="16"/>
                <w:color w:val="auto"/>
              </w:rPr>
              <w:t>activities a Director performed outside the scope of normal Board and Committee service. 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-1980565</wp:posOffset>
            </wp:positionV>
            <wp:extent cx="2743200" cy="15347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743200" cy="1534795"/>
                    </a:xfrm>
                    <a:prstGeom prst="rect">
                      <a:avLst/>
                    </a:prstGeom>
                    <a:noFill/>
                  </pic:spPr>
                </pic:pic>
              </a:graphicData>
            </a:graphic>
          </wp:anchor>
        </w:drawing>
      </w:r>
    </w:p>
    <w:p>
      <w:pPr>
        <w:ind w:left="3960"/>
        <w:spacing w:after="0"/>
        <w:rPr>
          <w:sz w:val="20"/>
          <w:szCs w:val="20"/>
          <w:color w:val="auto"/>
        </w:rPr>
      </w:pPr>
      <w:r>
        <w:rPr>
          <w:rFonts w:ascii="Arial" w:cs="Arial" w:eastAsia="Arial" w:hAnsi="Arial"/>
          <w:sz w:val="16"/>
          <w:szCs w:val="16"/>
          <w:color w:val="auto"/>
        </w:rPr>
        <w:t>discretionary fees were paid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7" w:lineRule="exact"/>
        <w:rPr>
          <w:sz w:val="20"/>
          <w:szCs w:val="20"/>
          <w:color w:val="auto"/>
        </w:rPr>
      </w:pPr>
    </w:p>
    <w:p>
      <w:pPr>
        <w:ind w:left="340" w:right="20" w:hanging="332"/>
        <w:spacing w:after="0" w:line="192" w:lineRule="auto"/>
        <w:tabs>
          <w:tab w:leader="none" w:pos="340" w:val="left"/>
        </w:tabs>
        <w:numPr>
          <w:ilvl w:val="0"/>
          <w:numId w:val="4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 of the Annual Board Retainer will be increased from $100,000 to $105,000, effective as of May 5, 2026 (the date of the 2026 Annual Meeting of Shareholders), such that the amount of Annual Board Retainer for calendar year 2026 will be approximately $103,300 for continuing Directors.</w:t>
      </w:r>
    </w:p>
    <w:p>
      <w:pPr>
        <w:ind w:left="340" w:hanging="332"/>
        <w:spacing w:after="0" w:line="211" w:lineRule="auto"/>
        <w:tabs>
          <w:tab w:leader="none" w:pos="340" w:val="left"/>
        </w:tabs>
        <w:numPr>
          <w:ilvl w:val="0"/>
          <w:numId w:val="4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Annual retainers are paid on a quarterly basis.</w:t>
      </w:r>
    </w:p>
    <w:p>
      <w:pPr>
        <w:spacing w:after="0" w:line="67" w:lineRule="exact"/>
        <w:rPr>
          <w:rFonts w:ascii="Arial" w:cs="Arial" w:eastAsia="Arial" w:hAnsi="Arial"/>
          <w:sz w:val="24"/>
          <w:szCs w:val="24"/>
          <w:i w:val="1"/>
          <w:iCs w:val="1"/>
          <w:color w:val="auto"/>
          <w:vertAlign w:val="superscript"/>
        </w:rPr>
      </w:pPr>
    </w:p>
    <w:p>
      <w:pPr>
        <w:jc w:val="both"/>
        <w:ind w:left="340" w:hanging="332"/>
        <w:spacing w:after="0" w:line="200" w:lineRule="auto"/>
        <w:tabs>
          <w:tab w:leader="none" w:pos="340" w:val="left"/>
        </w:tabs>
        <w:numPr>
          <w:ilvl w:val="0"/>
          <w:numId w:val="4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 of the Annual Restricted Share Grant (the grant date value of Hubbell’s common stock granted at an annual meeting of shareholders that vests on the date of the next annual meeting of shareholders if the Director is still serving (or earlier, upon death or a change in control)) shall be increased from $160,000 to $175,000, effective as of the grant to be made on May 5, 2026 (the date of the 2026 Annual Meeting of Shareholders).</w:t>
      </w:r>
    </w:p>
    <w:p>
      <w:pPr>
        <w:spacing w:after="0" w:line="56"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4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 of the Lead Director Retainer shall be increased from $30,000 to $35,000, effective as of May 5, 2026, such that the amount of the Lead Director Retainer for calendar year 2026 will be approximately $33,300, if the Lead Director is still serving at year end.</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32</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jc w:val="both"/>
        <w:ind w:left="340" w:hanging="332"/>
        <w:spacing w:after="0" w:line="213" w:lineRule="auto"/>
        <w:tabs>
          <w:tab w:leader="none" w:pos="340" w:val="left"/>
        </w:tabs>
        <w:numPr>
          <w:ilvl w:val="0"/>
          <w:numId w:val="4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 of the Committee Annual Retainers shall be increased by $5,000 for the Chair of each Committee (to $25,000 for the Audit Committee Chair; $20,000 for the Compensation Committee Chair; $18,000 for the Finance Committee Chair; and $18,000 for the NCGC Chair), effective as of May 5, 2026, such that the amount of the Committee Annual Retainers for calendar year 2026 will be approximately as follows for the Chair of each Committee: $23,300 for the Audit Committee Chair; $18,300 for the Compensation Committee Chair; $16,300 for the Finance Committee Chair; and $16,300 for the NCGC Chair, if each such Chair is still serving at year end.</w:t>
      </w:r>
    </w:p>
    <w:p>
      <w:pPr>
        <w:ind w:left="340" w:hanging="332"/>
        <w:spacing w:after="0" w:line="211" w:lineRule="auto"/>
        <w:tabs>
          <w:tab w:leader="none" w:pos="340" w:val="left"/>
        </w:tabs>
        <w:numPr>
          <w:ilvl w:val="0"/>
          <w:numId w:val="4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Activities may include customer visits, conference attendance or training meetings.</w:t>
      </w:r>
    </w:p>
    <w:p>
      <w:pPr>
        <w:spacing w:after="0" w:line="148" w:lineRule="exact"/>
        <w:rPr>
          <w:sz w:val="20"/>
          <w:szCs w:val="20"/>
          <w:color w:val="auto"/>
        </w:rPr>
      </w:pPr>
    </w:p>
    <w:p>
      <w:pPr>
        <w:spacing w:after="0"/>
        <w:rPr>
          <w:sz w:val="20"/>
          <w:szCs w:val="20"/>
          <w:color w:val="auto"/>
        </w:rPr>
      </w:pPr>
      <w:r>
        <w:rPr>
          <w:rFonts w:ascii="Arial" w:cs="Arial" w:eastAsia="Arial" w:hAnsi="Arial"/>
          <w:sz w:val="25"/>
          <w:szCs w:val="25"/>
          <w:color w:val="auto"/>
        </w:rPr>
        <w:t>Deferred Compensation Plan</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maintains a Deferred Compensation Plan for non-management Directors (“Deferred Plan for Directors”) that enables Directors, at their election, to defer all or a portion of their annual cash Board and Committee retainers into a stock unit account, a cash account, or both.</w:t>
      </w:r>
    </w:p>
    <w:p>
      <w:pPr>
        <w:spacing w:after="0" w:line="129" w:lineRule="exact"/>
        <w:rPr>
          <w:sz w:val="20"/>
          <w:szCs w:val="20"/>
          <w:color w:val="auto"/>
        </w:rPr>
      </w:pPr>
    </w:p>
    <w:p>
      <w:pPr>
        <w:ind w:left="180" w:hanging="172"/>
        <w:spacing w:after="0" w:line="286" w:lineRule="auto"/>
        <w:tabs>
          <w:tab w:leader="none" w:pos="180" w:val="left"/>
        </w:tabs>
        <w:numPr>
          <w:ilvl w:val="0"/>
          <w:numId w:val="43"/>
        </w:numPr>
        <w:rPr>
          <w:rFonts w:ascii="Arial" w:cs="Arial" w:eastAsia="Arial" w:hAnsi="Arial"/>
          <w:sz w:val="16"/>
          <w:szCs w:val="16"/>
          <w:color w:val="2F8B9E"/>
        </w:rPr>
      </w:pPr>
      <w:r>
        <w:rPr>
          <w:rFonts w:ascii="Arial" w:cs="Arial" w:eastAsia="Arial" w:hAnsi="Arial"/>
          <w:sz w:val="16"/>
          <w:szCs w:val="16"/>
          <w:color w:val="auto"/>
        </w:rPr>
        <w:t>Each stock unit in a stock unit account is equivalent to one share of Hubbell’s common stock. Dividend equivalents are paid on the stock units contained in a Director’s account and converted into additional stock units. Upon distribution, all stock units are payable in shares of Hubbell common stock.</w:t>
      </w:r>
    </w:p>
    <w:p>
      <w:pPr>
        <w:spacing w:after="0" w:line="20" w:lineRule="exact"/>
        <w:rPr>
          <w:rFonts w:ascii="Arial" w:cs="Arial" w:eastAsia="Arial" w:hAnsi="Arial"/>
          <w:sz w:val="16"/>
          <w:szCs w:val="16"/>
          <w:color w:val="2F8B9E"/>
        </w:rPr>
      </w:pPr>
    </w:p>
    <w:p>
      <w:pPr>
        <w:ind w:left="180" w:hanging="172"/>
        <w:spacing w:after="0" w:line="286" w:lineRule="auto"/>
        <w:tabs>
          <w:tab w:leader="none" w:pos="180" w:val="left"/>
        </w:tabs>
        <w:numPr>
          <w:ilvl w:val="0"/>
          <w:numId w:val="43"/>
        </w:numPr>
        <w:rPr>
          <w:rFonts w:ascii="Arial" w:cs="Arial" w:eastAsia="Arial" w:hAnsi="Arial"/>
          <w:sz w:val="16"/>
          <w:szCs w:val="16"/>
          <w:color w:val="2F8B9E"/>
        </w:rPr>
      </w:pPr>
      <w:r>
        <w:rPr>
          <w:rFonts w:ascii="Arial" w:cs="Arial" w:eastAsia="Arial" w:hAnsi="Arial"/>
          <w:sz w:val="16"/>
          <w:szCs w:val="16"/>
          <w:color w:val="auto"/>
        </w:rPr>
        <w:t>A cash account is credited with interest at the prime rate in effect at the Company’s principal commercial bank on the date immediately following each regularly scheduled quarterly Board meeting.</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Deferred Plan for Directors also enables the Directors, at their election, to defer all or a portion of their annual restricted share grant into a restricted stock unit account that credits a depositor with one restricted stock unit for each share of restricted stock deferred. Restricted stock units are subject to the same vesting terms as the underlying deferred stock and are payable in the form of one share of Hubbell common stock for each restricted stock unit. Dividend equivalents are paid on the restricted stock units contained in the account and converted into additional restricted stock units.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Generally, distributions under the Deferred Plan for Directors are paid only after termination of service and may be paid in a lump sum or in annual installments, at the Director’s election. However, in the event of a change of control, all amounts credited to a Director’s account will be paid in a lump sum, with amounts credited as stock units immediately converted into a right to receive cash.</w:t>
      </w:r>
    </w:p>
    <w:p>
      <w:pPr>
        <w:spacing w:after="0" w:line="136" w:lineRule="exact"/>
        <w:rPr>
          <w:sz w:val="20"/>
          <w:szCs w:val="20"/>
          <w:color w:val="auto"/>
        </w:rPr>
      </w:pPr>
    </w:p>
    <w:p>
      <w:pPr>
        <w:spacing w:after="0"/>
        <w:rPr>
          <w:sz w:val="20"/>
          <w:szCs w:val="20"/>
          <w:color w:val="auto"/>
        </w:rPr>
      </w:pPr>
      <w:r>
        <w:rPr>
          <w:rFonts w:ascii="Arial" w:cs="Arial" w:eastAsia="Arial" w:hAnsi="Arial"/>
          <w:sz w:val="25"/>
          <w:szCs w:val="25"/>
          <w:color w:val="auto"/>
        </w:rPr>
        <w:t>Charitable Match</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Hubbell provides the Directors and all U.S. employees with a matching program for contributions to qualifying charitable organizations and educational institutions. The Hubbell Foundation matches eligible cash donations to qualifying charitable organizations and educational institutions in a calendar year up to (i) $25,000 in the aggregate in cash donations and (ii) such other cash amounts, as applicable, matched in connection with The Hubbell Foundation’s Dollars for Doers matching volunteer hours program - wherein The Hubbell Foundation makes charitable donations based on certain documented volunteer hours served. Hubbell believes strongly in the positive impact that volunteerism and charitable contributions can have on local communities and the larger world.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Director Compensation Table</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shows the compensation paid by the Company to non-management Directors for service on the Board of Directors during fiscal year 2025. Mr. Bakker received no compensation for his service as a Director beyond that described in the Executive Compensation section on page 57.</w:t>
      </w:r>
    </w:p>
    <w:p>
      <w:pPr>
        <w:spacing w:after="0" w:line="129"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60" w:type="dxa"/>
            <w:vAlign w:val="bottom"/>
            <w:shd w:val="clear" w:color="auto" w:fill="FFE933"/>
          </w:tcPr>
          <w:p>
            <w:pPr>
              <w:spacing w:after="0"/>
              <w:rPr>
                <w:sz w:val="16"/>
                <w:szCs w:val="16"/>
                <w:color w:val="auto"/>
              </w:rPr>
            </w:pPr>
          </w:p>
        </w:tc>
        <w:tc>
          <w:tcPr>
            <w:tcW w:w="3440" w:type="dxa"/>
            <w:vAlign w:val="bottom"/>
            <w:shd w:val="clear" w:color="auto" w:fill="FFE933"/>
          </w:tcPr>
          <w:p>
            <w:pPr>
              <w:jc w:val="right"/>
              <w:ind w:right="19"/>
              <w:spacing w:after="0"/>
              <w:rPr>
                <w:sz w:val="20"/>
                <w:szCs w:val="20"/>
                <w:color w:val="auto"/>
              </w:rPr>
            </w:pPr>
            <w:r>
              <w:rPr>
                <w:rFonts w:ascii="Arial" w:cs="Arial" w:eastAsia="Arial" w:hAnsi="Arial"/>
                <w:sz w:val="16"/>
                <w:szCs w:val="16"/>
                <w:b w:val="1"/>
                <w:bCs w:val="1"/>
                <w:color w:val="auto"/>
              </w:rPr>
              <w:t>Fees Earned</w:t>
            </w:r>
          </w:p>
        </w:tc>
        <w:tc>
          <w:tcPr>
            <w:tcW w:w="1460" w:type="dxa"/>
            <w:vAlign w:val="bottom"/>
            <w:shd w:val="clear" w:color="auto" w:fill="FFE933"/>
          </w:tcPr>
          <w:p>
            <w:pPr>
              <w:spacing w:after="0"/>
              <w:rPr>
                <w:sz w:val="16"/>
                <w:szCs w:val="16"/>
                <w:color w:val="auto"/>
              </w:rPr>
            </w:pPr>
          </w:p>
        </w:tc>
        <w:tc>
          <w:tcPr>
            <w:tcW w:w="1620" w:type="dxa"/>
            <w:vAlign w:val="bottom"/>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All Other</w:t>
            </w:r>
          </w:p>
        </w:tc>
        <w:tc>
          <w:tcPr>
            <w:tcW w:w="860" w:type="dxa"/>
            <w:vAlign w:val="bottom"/>
            <w:shd w:val="clear" w:color="auto" w:fill="FFE933"/>
          </w:tcPr>
          <w:p>
            <w:pPr>
              <w:spacing w:after="0"/>
              <w:rPr>
                <w:sz w:val="16"/>
                <w:szCs w:val="16"/>
                <w:color w:val="auto"/>
              </w:rPr>
            </w:pPr>
          </w:p>
        </w:tc>
      </w:tr>
      <w:tr>
        <w:trPr>
          <w:trHeight w:val="230"/>
        </w:trPr>
        <w:tc>
          <w:tcPr>
            <w:tcW w:w="3860" w:type="dxa"/>
            <w:vAlign w:val="bottom"/>
            <w:shd w:val="clear" w:color="auto" w:fill="FFE933"/>
          </w:tcPr>
          <w:p>
            <w:pPr>
              <w:spacing w:after="0"/>
              <w:rPr>
                <w:sz w:val="20"/>
                <w:szCs w:val="20"/>
                <w:color w:val="auto"/>
              </w:rPr>
            </w:pPr>
          </w:p>
        </w:tc>
        <w:tc>
          <w:tcPr>
            <w:tcW w:w="3440" w:type="dxa"/>
            <w:vAlign w:val="bottom"/>
            <w:shd w:val="clear" w:color="auto" w:fill="FFE933"/>
          </w:tcPr>
          <w:p>
            <w:pPr>
              <w:jc w:val="right"/>
              <w:ind w:right="19"/>
              <w:spacing w:after="0" w:line="230" w:lineRule="exact"/>
              <w:rPr>
                <w:sz w:val="20"/>
                <w:szCs w:val="20"/>
                <w:color w:val="auto"/>
              </w:rPr>
            </w:pPr>
            <w:r>
              <w:rPr>
                <w:rFonts w:ascii="Arial" w:cs="Arial" w:eastAsia="Arial" w:hAnsi="Arial"/>
                <w:sz w:val="16"/>
                <w:szCs w:val="16"/>
                <w:b w:val="1"/>
                <w:bCs w:val="1"/>
                <w:color w:val="auto"/>
              </w:rPr>
              <w:t>or Paid in Cash</w:t>
            </w:r>
            <w:r>
              <w:rPr>
                <w:rFonts w:ascii="Arial" w:cs="Arial" w:eastAsia="Arial" w:hAnsi="Arial"/>
                <w:sz w:val="26"/>
                <w:szCs w:val="26"/>
                <w:b w:val="1"/>
                <w:bCs w:val="1"/>
                <w:color w:val="auto"/>
                <w:vertAlign w:val="superscript"/>
              </w:rPr>
              <w:t>(2)</w:t>
            </w:r>
          </w:p>
        </w:tc>
        <w:tc>
          <w:tcPr>
            <w:tcW w:w="1460" w:type="dxa"/>
            <w:vAlign w:val="bottom"/>
            <w:shd w:val="clear" w:color="auto" w:fill="FFE933"/>
          </w:tcPr>
          <w:p>
            <w:pPr>
              <w:jc w:val="right"/>
              <w:ind w:right="39"/>
              <w:spacing w:after="0" w:line="230" w:lineRule="exact"/>
              <w:rPr>
                <w:sz w:val="20"/>
                <w:szCs w:val="20"/>
                <w:color w:val="auto"/>
              </w:rPr>
            </w:pPr>
            <w:r>
              <w:rPr>
                <w:rFonts w:ascii="Arial" w:cs="Arial" w:eastAsia="Arial" w:hAnsi="Arial"/>
                <w:sz w:val="16"/>
                <w:szCs w:val="16"/>
                <w:b w:val="1"/>
                <w:bCs w:val="1"/>
                <w:color w:val="auto"/>
              </w:rPr>
              <w:t>Stock Awards</w:t>
            </w:r>
            <w:r>
              <w:rPr>
                <w:rFonts w:ascii="Arial" w:cs="Arial" w:eastAsia="Arial" w:hAnsi="Arial"/>
                <w:sz w:val="26"/>
                <w:szCs w:val="26"/>
                <w:b w:val="1"/>
                <w:bCs w:val="1"/>
                <w:color w:val="auto"/>
                <w:vertAlign w:val="superscript"/>
              </w:rPr>
              <w:t>(3)</w:t>
            </w:r>
          </w:p>
        </w:tc>
        <w:tc>
          <w:tcPr>
            <w:tcW w:w="1620" w:type="dxa"/>
            <w:vAlign w:val="bottom"/>
            <w:shd w:val="clear" w:color="auto" w:fill="FFE933"/>
          </w:tcPr>
          <w:p>
            <w:pPr>
              <w:jc w:val="right"/>
              <w:ind w:right="159"/>
              <w:spacing w:after="0" w:line="230"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6"/>
                <w:szCs w:val="26"/>
                <w:b w:val="1"/>
                <w:bCs w:val="1"/>
                <w:color w:val="auto"/>
                <w:vertAlign w:val="superscript"/>
              </w:rPr>
              <w:t>(4)</w:t>
            </w:r>
          </w:p>
        </w:tc>
        <w:tc>
          <w:tcPr>
            <w:tcW w:w="86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386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Name</w:t>
            </w:r>
          </w:p>
        </w:tc>
        <w:tc>
          <w:tcPr>
            <w:tcW w:w="3440" w:type="dxa"/>
            <w:vAlign w:val="bottom"/>
            <w:shd w:val="clear" w:color="auto" w:fill="FFE933"/>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w:t>
            </w:r>
          </w:p>
        </w:tc>
        <w:tc>
          <w:tcPr>
            <w:tcW w:w="1620" w:type="dxa"/>
            <w:vAlign w:val="bottom"/>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w:t>
            </w:r>
          </w:p>
        </w:tc>
      </w:tr>
      <w:tr>
        <w:trPr>
          <w:trHeight w:val="229"/>
        </w:trPr>
        <w:tc>
          <w:tcPr>
            <w:tcW w:w="3860" w:type="dxa"/>
            <w:vAlign w:val="bottom"/>
            <w:tcBorders>
              <w:bottom w:val="single" w:sz="8" w:color="BCBEC0"/>
            </w:tcBorders>
          </w:tcPr>
          <w:p>
            <w:pPr>
              <w:ind w:left="60"/>
              <w:spacing w:after="0" w:line="230" w:lineRule="exact"/>
              <w:rPr>
                <w:sz w:val="20"/>
                <w:szCs w:val="20"/>
                <w:color w:val="auto"/>
              </w:rPr>
            </w:pPr>
            <w:r>
              <w:rPr>
                <w:rFonts w:ascii="Arial" w:cs="Arial" w:eastAsia="Arial" w:hAnsi="Arial"/>
                <w:sz w:val="16"/>
                <w:szCs w:val="16"/>
                <w:b w:val="1"/>
                <w:bCs w:val="1"/>
                <w:color w:val="auto"/>
              </w:rPr>
              <w:t>EDWARD H. BAINE</w:t>
            </w:r>
            <w:r>
              <w:rPr>
                <w:rFonts w:ascii="Arial" w:cs="Arial" w:eastAsia="Arial" w:hAnsi="Arial"/>
                <w:sz w:val="26"/>
                <w:szCs w:val="26"/>
                <w:b w:val="1"/>
                <w:bCs w:val="1"/>
                <w:color w:val="auto"/>
                <w:vertAlign w:val="superscript"/>
              </w:rPr>
              <w:t>(1)</w:t>
            </w:r>
          </w:p>
        </w:tc>
        <w:tc>
          <w:tcPr>
            <w:tcW w:w="344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38,043</w:t>
            </w:r>
          </w:p>
        </w:tc>
        <w:tc>
          <w:tcPr>
            <w:tcW w:w="146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159,818</w:t>
            </w:r>
          </w:p>
        </w:tc>
        <w:tc>
          <w:tcPr>
            <w:tcW w:w="1620" w:type="dxa"/>
            <w:vAlign w:val="bottom"/>
            <w:tcBorders>
              <w:bottom w:val="single" w:sz="8" w:color="BCBEC0"/>
            </w:tcBorders>
          </w:tcPr>
          <w:p>
            <w:pPr>
              <w:jc w:val="right"/>
              <w:ind w:right="1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197,861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CARLOS M. CARDOSO</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120,000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25,000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304,861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DEBRA L. DIAL</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115,000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25,000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299,861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ANTHONY J. GUZZI</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147,000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23,000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329,861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RHETT A. HERNANDEZ</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115,000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20,000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294,861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NEAL J. KEATING</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120,000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32,610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312,471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BONNIE C. LIND</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125,000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5,000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289,861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JOHN F. MALLOY</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123,000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282,861</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JENNIFER M. POLLINO</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113,745</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31,000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304,606</w:t>
            </w:r>
          </w:p>
        </w:tc>
      </w:tr>
      <w:tr>
        <w:trPr>
          <w:trHeight w:val="183"/>
        </w:trPr>
        <w:tc>
          <w:tcPr>
            <w:tcW w:w="3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GARRICK J. ROCHOW</w:t>
            </w:r>
          </w:p>
        </w:tc>
        <w:tc>
          <w:tcPr>
            <w:tcW w:w="34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115,000</w:t>
            </w:r>
          </w:p>
        </w:tc>
        <w:tc>
          <w:tcPr>
            <w:tcW w:w="146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159,861</w:t>
            </w:r>
          </w:p>
        </w:tc>
        <w:tc>
          <w:tcPr>
            <w:tcW w:w="16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274,861</w:t>
            </w:r>
          </w:p>
        </w:tc>
      </w:tr>
    </w:tbl>
    <w:p>
      <w:pPr>
        <w:spacing w:after="0" w:line="74" w:lineRule="exact"/>
        <w:rPr>
          <w:sz w:val="20"/>
          <w:szCs w:val="20"/>
          <w:color w:val="auto"/>
        </w:rPr>
      </w:pPr>
    </w:p>
    <w:p>
      <w:pPr>
        <w:ind w:left="340" w:right="20" w:hanging="332"/>
        <w:spacing w:after="0" w:line="192" w:lineRule="auto"/>
        <w:tabs>
          <w:tab w:leader="none" w:pos="340" w:val="left"/>
        </w:tabs>
        <w:numPr>
          <w:ilvl w:val="0"/>
          <w:numId w:val="4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Mr. Baine joined the Board effective August 29, 2025. Mr. Baine’s cash retainer fees represent his partial year cash compensation; he received a full year annual restricted share grant.</w:t>
      </w:r>
    </w:p>
    <w:p>
      <w:pPr>
        <w:ind w:left="340" w:hanging="332"/>
        <w:spacing w:after="0" w:line="211" w:lineRule="auto"/>
        <w:tabs>
          <w:tab w:leader="none" w:pos="340" w:val="left"/>
        </w:tabs>
        <w:numPr>
          <w:ilvl w:val="0"/>
          <w:numId w:val="4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Includes the following amounts deferred and held under the Company’s Deferred Plan for Directors: Mr. Guzzi - $147,000, Mr. Keating - $60,000, and Ms. Lind – $125,000.</w:t>
      </w:r>
    </w:p>
    <w:p>
      <w:pPr>
        <w:spacing w:after="0" w:line="67" w:lineRule="exact"/>
        <w:rPr>
          <w:rFonts w:ascii="Arial" w:cs="Arial" w:eastAsia="Arial" w:hAnsi="Arial"/>
          <w:sz w:val="24"/>
          <w:szCs w:val="24"/>
          <w:i w:val="1"/>
          <w:iCs w:val="1"/>
          <w:color w:val="auto"/>
          <w:vertAlign w:val="superscript"/>
        </w:rPr>
      </w:pPr>
    </w:p>
    <w:p>
      <w:pPr>
        <w:jc w:val="both"/>
        <w:ind w:left="340" w:hanging="332"/>
        <w:spacing w:after="0"/>
        <w:tabs>
          <w:tab w:leader="none" w:pos="340" w:val="left"/>
        </w:tabs>
        <w:numPr>
          <w:ilvl w:val="0"/>
          <w:numId w:val="4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Amounts shown represent (a) the grant date fair value of 457 shares of restricted stock granted to each of Mr. Cardoso, Ms. Dial, Mr. Guzzi, Mr. Hernandez, Mr. Keating, Ms. Lind, Mr. Malloy, Ms. Pollino, and Mr. Rochow at the Company’s May 6, 2025, Annual Meeting of Shareholders as computed in accordance with FASB ASC Topic 718, and (b) the grant date fair value of 366 shares of restricted stock granted to Mr. Baine on August 29, 2025 as computed in accordance with FASB ASC Topic 718. For a discussion of the assumptions made in the valuation reflected in these columns, see Note 17 to the Notes to Consolidated Financial Statements for 2025 contained in the Company’s Form 10-K filed with the SEC on February 12, 2026. These shares will vest as of the date of the 2026 Annual Meeting of Shareholders if the Director is still serving at that time (or earlier, upon death or a change in control). Ms. Dial, Mr. Guzzi, Mr. Keating, and Ms. Lind each elected to defer their entire 2025 annual restricted stock grant pursuant to the terms of the Deferred Plan for Directors. See the below table for the aggregate number of stock awards held by each Director as of December 31, 2025.</w:t>
      </w:r>
    </w:p>
    <w:p>
      <w:pPr>
        <w:spacing w:after="0" w:line="123"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4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All amounts shown relate to matching contributions to an eligible institution under The Hubbell Foundation’s Matching Gifts Program, and the limited personal use of the Company aircraft by Mr. Keating.</w:t>
      </w:r>
    </w:p>
    <w:p>
      <w:pPr>
        <w:spacing w:after="0" w:line="15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As of December 31, 2025, the following table shows the balance in each non-management Director’s stock unit account and restricted stock unit account, if any, under the Deferred Plan for Directors. Each stock unit and restricted stock unit shown below represents the right to receive one share of Hubbell common stock. See the “Deferred Compensation Plan” section on page 33 for additional information: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shd w:val="clear" w:color="auto" w:fill="FFE933"/>
          </w:tcPr>
          <w:p>
            <w:pPr>
              <w:spacing w:after="0"/>
              <w:rPr>
                <w:sz w:val="16"/>
                <w:szCs w:val="16"/>
                <w:color w:val="auto"/>
              </w:rPr>
            </w:pPr>
          </w:p>
        </w:tc>
        <w:tc>
          <w:tcPr>
            <w:tcW w:w="468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Aggregate No. of Stock Units</w:t>
            </w:r>
          </w:p>
        </w:tc>
        <w:tc>
          <w:tcPr>
            <w:tcW w:w="238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Aggregate No. of Restricted</w:t>
            </w:r>
          </w:p>
        </w:tc>
      </w:tr>
      <w:tr>
        <w:trPr>
          <w:trHeight w:val="189"/>
        </w:trPr>
        <w:tc>
          <w:tcPr>
            <w:tcW w:w="4180" w:type="dxa"/>
            <w:vAlign w:val="bottom"/>
            <w:shd w:val="clear" w:color="auto" w:fill="FFE933"/>
          </w:tcPr>
          <w:p>
            <w:pPr>
              <w:spacing w:after="0"/>
              <w:rPr>
                <w:sz w:val="16"/>
                <w:szCs w:val="16"/>
                <w:color w:val="auto"/>
              </w:rPr>
            </w:pPr>
          </w:p>
        </w:tc>
        <w:tc>
          <w:tcPr>
            <w:tcW w:w="468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Held at Year End</w:t>
            </w:r>
          </w:p>
        </w:tc>
        <w:tc>
          <w:tcPr>
            <w:tcW w:w="238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Stock Units Held at Year End</w:t>
            </w:r>
          </w:p>
        </w:tc>
      </w:tr>
      <w:tr>
        <w:trPr>
          <w:trHeight w:val="203"/>
        </w:trPr>
        <w:tc>
          <w:tcPr>
            <w:tcW w:w="418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Name</w:t>
            </w:r>
          </w:p>
        </w:tc>
        <w:tc>
          <w:tcPr>
            <w:tcW w:w="468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w:t>
            </w:r>
          </w:p>
        </w:tc>
        <w:tc>
          <w:tcPr>
            <w:tcW w:w="238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w:t>
            </w:r>
          </w:p>
        </w:tc>
      </w:tr>
      <w:tr>
        <w:trPr>
          <w:trHeight w:val="230"/>
        </w:trPr>
        <w:tc>
          <w:tcPr>
            <w:tcW w:w="4180" w:type="dxa"/>
            <w:vAlign w:val="bottom"/>
            <w:tcBorders>
              <w:bottom w:val="single" w:sz="8" w:color="BCBEC0"/>
            </w:tcBorders>
          </w:tcPr>
          <w:p>
            <w:pPr>
              <w:ind w:left="60"/>
              <w:spacing w:after="0" w:line="230" w:lineRule="exact"/>
              <w:rPr>
                <w:sz w:val="20"/>
                <w:szCs w:val="20"/>
                <w:color w:val="auto"/>
              </w:rPr>
            </w:pPr>
            <w:r>
              <w:rPr>
                <w:rFonts w:ascii="Arial" w:cs="Arial" w:eastAsia="Arial" w:hAnsi="Arial"/>
                <w:sz w:val="16"/>
                <w:szCs w:val="16"/>
                <w:b w:val="1"/>
                <w:bCs w:val="1"/>
                <w:color w:val="auto"/>
              </w:rPr>
              <w:t>EDWARD H. BAINE</w:t>
            </w:r>
            <w:r>
              <w:rPr>
                <w:rFonts w:ascii="Arial" w:cs="Arial" w:eastAsia="Arial" w:hAnsi="Arial"/>
                <w:sz w:val="26"/>
                <w:szCs w:val="26"/>
                <w:b w:val="1"/>
                <w:bCs w:val="1"/>
                <w:color w:val="auto"/>
                <w:vertAlign w:val="superscript"/>
              </w:rPr>
              <w:t>(1)</w:t>
            </w:r>
          </w:p>
        </w:tc>
        <w:tc>
          <w:tcPr>
            <w:tcW w:w="46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3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CARLOS M. CARDOSO</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2,406</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7,986</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DEBRA L. DIAL</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880</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ANTHONY J. GUZZI</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33,295</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15,212</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RHETT A. HERNANDEZ</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NEAL J. KEATING</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7,795</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15,212</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BONNIE C. LIND</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2,752</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5,365</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JOHN F. MALLOY</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1,812</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1,861</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JENNIFER M. POLLINO</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1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GARRICK J. ROCHOW</w:t>
            </w:r>
          </w:p>
        </w:tc>
        <w:tc>
          <w:tcPr>
            <w:tcW w:w="46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bl>
    <w:p>
      <w:pPr>
        <w:ind w:left="340" w:hanging="332"/>
        <w:spacing w:after="0" w:line="227" w:lineRule="auto"/>
        <w:tabs>
          <w:tab w:leader="none" w:pos="340" w:val="left"/>
        </w:tabs>
        <w:numPr>
          <w:ilvl w:val="0"/>
          <w:numId w:val="4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Mr. Baine joined the Board effective August 29, 2025.</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34</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6" w:lineRule="exact"/>
        <w:rPr>
          <w:sz w:val="20"/>
          <w:szCs w:val="20"/>
          <w:color w:val="auto"/>
        </w:rPr>
      </w:pPr>
    </w:p>
    <w:p>
      <w:pPr>
        <w:ind w:left="260"/>
        <w:spacing w:after="0"/>
        <w:rPr>
          <w:sz w:val="20"/>
          <w:szCs w:val="20"/>
          <w:color w:val="auto"/>
        </w:rPr>
      </w:pPr>
      <w:r>
        <w:rPr>
          <w:rFonts w:ascii="Arial" w:cs="Arial" w:eastAsia="Arial" w:hAnsi="Arial"/>
          <w:sz w:val="32"/>
          <w:szCs w:val="32"/>
          <w:b w:val="1"/>
          <w:bCs w:val="1"/>
          <w:color w:val="auto"/>
        </w:rPr>
        <w:t>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0801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080135"/>
                    </a:xfrm>
                    <a:prstGeom prst="rect">
                      <a:avLst/>
                    </a:prstGeom>
                    <a:noFill/>
                  </pic:spPr>
                </pic:pic>
              </a:graphicData>
            </a:graphic>
          </wp:anchor>
        </w:drawing>
      </w:r>
    </w:p>
    <w:p>
      <w:pPr>
        <w:spacing w:after="0" w:line="26" w:lineRule="exact"/>
        <w:rPr>
          <w:sz w:val="20"/>
          <w:szCs w:val="20"/>
          <w:color w:val="auto"/>
        </w:rPr>
      </w:pPr>
    </w:p>
    <w:p>
      <w:pPr>
        <w:ind w:left="260" w:right="2500"/>
        <w:spacing w:after="0" w:line="261" w:lineRule="auto"/>
        <w:rPr>
          <w:sz w:val="20"/>
          <w:szCs w:val="20"/>
          <w:color w:val="auto"/>
        </w:rPr>
      </w:pPr>
      <w:r>
        <w:rPr>
          <w:rFonts w:ascii="Arial" w:cs="Arial" w:eastAsia="Arial" w:hAnsi="Arial"/>
          <w:sz w:val="57"/>
          <w:szCs w:val="57"/>
          <w:color w:val="auto"/>
        </w:rPr>
        <w:t>Advisory Vote to Approve Named Executive Officer Compensation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Consistent with the preference expressed by our shareholders at the 2023 Annual Meeting, we offer our shareholders the opportunity to vote on the compensation of our NEOs every year.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accordance with the Dodd-Frank Wall Street Reform and Consumer Protection Act and Section 14A of the Securities Exchange Act of 1934, as amended (the “Exchange Act”), we are requesting shareholder approval, on an advisory (non-binding) basis, of the compensation of our NEOs as presented in this Proxy Statement in the Compensation Discussion and Analysis section beginning on page 36 and the compensation tables and accompanying narrative disclosure in the Executive Compensation section beginning on page 57.</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will present the following resolution for a vote at the Annual Meeting:</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that shareholders of Hubbell Incorporated (the “Company”) approve, on an advisory basis, the compensation of the Company’s Named Executive Officers as described in the Compensation Discussion and Analysis and disclosed in the 2025 Summary Compensation Table and related compensation tables and narrative disclosure as set forth in the Company’s 2026 Proxy Statement.”</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described more fully in the Compensation Discussion and Analysis section, our executive compensation program was designed to attract and retain highly talented executives, deliver compensation that is competitive and fair compared to relevant benchmarks, reward strong performance, and motivate executives to maximize long-term shareholder returns. To achieve our objectives, we have adopted and maintain sound compensation governance practices and a strong pay for performance philosophy. Notably, the greatest portion of our executives’ total direct compensation is variable and linked to performance on both a short-term and long-term basis.</w:t>
      </w:r>
    </w:p>
    <w:p>
      <w:pPr>
        <w:spacing w:after="0" w:line="15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an advisory vote, the outcome of this proposal is not binding upon the Company. However, our Compensation Committee and our Board value the opinions of our shareholders and will consider the outcome of this vote when making future compensation decisions for our NEOs.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affirmative vote of a majority of the votes cast by the holders of the outstanding shares of Hubbell common stock is required to approve, on an advisory, non-binding basis, the compensation of our NEOs. In other words, the number of votes cast “FOR” the proposal must exceed the number of votes cast “AGAINST” the proposal. Abstentions and broker non-votes will not affect the voting results. Broker discretionary voting is not allowed. If your shares are held by a broker, you must instruct the broker how to vote or your shares will not be voted with respect to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4368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32320" cy="436880"/>
                    </a:xfrm>
                    <a:prstGeom prst="rect">
                      <a:avLst/>
                    </a:prstGeom>
                    <a:noFill/>
                  </pic:spPr>
                </pic:pic>
              </a:graphicData>
            </a:graphic>
          </wp:anchor>
        </w:drawing>
      </w:r>
    </w:p>
    <w:p>
      <w:pPr>
        <w:spacing w:after="0" w:line="37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The Board unanimously recommends a vote for the approval by advisory vote of the compensation of our Named Executive Officers.</w:t>
      </w:r>
    </w:p>
    <w:p>
      <w:pPr>
        <w:spacing w:after="0" w:line="200" w:lineRule="exact"/>
        <w:rPr>
          <w:sz w:val="20"/>
          <w:szCs w:val="20"/>
          <w:color w:val="auto"/>
        </w:rPr>
      </w:pPr>
    </w:p>
    <w:p>
      <w:pPr>
        <w:spacing w:after="0" w:line="22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3" w:lineRule="exact"/>
        <w:rPr>
          <w:sz w:val="20"/>
          <w:szCs w:val="20"/>
          <w:color w:val="auto"/>
        </w:rPr>
      </w:pPr>
    </w:p>
    <w:p>
      <w:pPr>
        <w:ind w:left="260" w:right="900"/>
        <w:spacing w:after="0" w:line="283" w:lineRule="auto"/>
        <w:rPr>
          <w:sz w:val="20"/>
          <w:szCs w:val="20"/>
          <w:color w:val="auto"/>
        </w:rPr>
      </w:pPr>
      <w:r>
        <w:rPr>
          <w:rFonts w:ascii="Arial" w:cs="Arial" w:eastAsia="Arial" w:hAnsi="Arial"/>
          <w:sz w:val="58"/>
          <w:szCs w:val="58"/>
          <w:color w:val="auto"/>
        </w:rPr>
        <w:t xml:space="preserve">Compensation Discussion and Analysis </w:t>
      </w:r>
      <w:r>
        <w:rPr>
          <w:rFonts w:ascii="Arial" w:cs="Arial" w:eastAsia="Arial" w:hAnsi="Arial"/>
          <w:sz w:val="58"/>
          <w:szCs w:val="58"/>
          <w:b w:val="1"/>
          <w:bCs w:val="1"/>
          <w:color w:val="auto"/>
        </w:rPr>
        <w:t>(CD&amp;A)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-964565</wp:posOffset>
            </wp:positionV>
            <wp:extent cx="7132320" cy="23145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32320" cy="2314575"/>
                    </a:xfrm>
                    <a:prstGeom prst="rect">
                      <a:avLst/>
                    </a:prstGeom>
                    <a:noFill/>
                  </pic:spPr>
                </pic:pic>
              </a:graphicData>
            </a:graphic>
          </wp:anchor>
        </w:drawing>
      </w:r>
    </w:p>
    <w:p>
      <w:pPr>
        <w:spacing w:after="0" w:line="194" w:lineRule="exact"/>
        <w:rPr>
          <w:sz w:val="20"/>
          <w:szCs w:val="20"/>
          <w:color w:val="auto"/>
        </w:rPr>
      </w:pPr>
    </w:p>
    <w:p>
      <w:pPr>
        <w:ind w:left="100"/>
        <w:spacing w:after="0"/>
        <w:rPr>
          <w:sz w:val="20"/>
          <w:szCs w:val="20"/>
          <w:color w:val="auto"/>
        </w:rPr>
      </w:pPr>
      <w:r>
        <w:rPr>
          <w:rFonts w:ascii="Arial" w:cs="Arial" w:eastAsia="Arial" w:hAnsi="Arial"/>
          <w:sz w:val="29"/>
          <w:szCs w:val="29"/>
          <w:b w:val="1"/>
          <w:bCs w:val="1"/>
          <w:color w:val="auto"/>
        </w:rPr>
        <w:t>CD&amp;A Table of Contents</w:t>
      </w:r>
    </w:p>
    <w:p>
      <w:pPr>
        <w:spacing w:after="0" w:line="83"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0580" w:type="dxa"/>
            <w:vAlign w:val="bottom"/>
          </w:tcPr>
          <w:p>
            <w:pPr>
              <w:spacing w:after="0"/>
              <w:rPr>
                <w:sz w:val="20"/>
                <w:szCs w:val="20"/>
                <w:color w:val="auto"/>
              </w:rPr>
            </w:pPr>
            <w:r>
              <w:rPr>
                <w:rFonts w:ascii="Arial" w:cs="Arial" w:eastAsia="Arial" w:hAnsi="Arial"/>
                <w:sz w:val="16"/>
                <w:szCs w:val="16"/>
                <w:b w:val="1"/>
                <w:bCs w:val="1"/>
                <w:color w:val="auto"/>
              </w:rPr>
              <w:t>Executive Summary</w:t>
            </w:r>
          </w:p>
        </w:tc>
        <w:tc>
          <w:tcPr>
            <w:tcW w:w="5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36</w:t>
            </w:r>
          </w:p>
        </w:tc>
      </w:tr>
      <w:tr>
        <w:trPr>
          <w:trHeight w:val="223"/>
        </w:trPr>
        <w:tc>
          <w:tcPr>
            <w:tcW w:w="10580" w:type="dxa"/>
            <w:vAlign w:val="bottom"/>
          </w:tcPr>
          <w:p>
            <w:pPr>
              <w:spacing w:after="0"/>
              <w:rPr>
                <w:sz w:val="20"/>
                <w:szCs w:val="20"/>
                <w:color w:val="auto"/>
              </w:rPr>
            </w:pPr>
            <w:r>
              <w:rPr>
                <w:rFonts w:ascii="Arial" w:cs="Arial" w:eastAsia="Arial" w:hAnsi="Arial"/>
                <w:sz w:val="16"/>
                <w:szCs w:val="16"/>
                <w:b w:val="1"/>
                <w:bCs w:val="1"/>
                <w:color w:val="auto"/>
              </w:rPr>
              <w:t>CEO Pay vs. Realized Pay vs. Company Performance</w:t>
            </w:r>
          </w:p>
        </w:tc>
        <w:tc>
          <w:tcPr>
            <w:tcW w:w="5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39</w:t>
            </w:r>
          </w:p>
        </w:tc>
      </w:tr>
      <w:tr>
        <w:trPr>
          <w:trHeight w:val="243"/>
        </w:trPr>
        <w:tc>
          <w:tcPr>
            <w:tcW w:w="10580" w:type="dxa"/>
            <w:vAlign w:val="bottom"/>
          </w:tcPr>
          <w:p>
            <w:pPr>
              <w:spacing w:after="0"/>
              <w:rPr>
                <w:sz w:val="20"/>
                <w:szCs w:val="20"/>
                <w:color w:val="auto"/>
              </w:rPr>
            </w:pPr>
            <w:r>
              <w:rPr>
                <w:rFonts w:ascii="Arial" w:cs="Arial" w:eastAsia="Arial" w:hAnsi="Arial"/>
                <w:sz w:val="16"/>
                <w:szCs w:val="16"/>
                <w:b w:val="1"/>
                <w:bCs w:val="1"/>
                <w:color w:val="auto"/>
              </w:rPr>
              <w:t>Our Compensation Program</w:t>
            </w:r>
          </w:p>
        </w:tc>
        <w:tc>
          <w:tcPr>
            <w:tcW w:w="5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41</w:t>
            </w:r>
          </w:p>
        </w:tc>
      </w:tr>
      <w:tr>
        <w:trPr>
          <w:trHeight w:val="243"/>
        </w:trPr>
        <w:tc>
          <w:tcPr>
            <w:tcW w:w="10580" w:type="dxa"/>
            <w:vAlign w:val="bottom"/>
          </w:tcPr>
          <w:p>
            <w:pPr>
              <w:spacing w:after="0"/>
              <w:rPr>
                <w:sz w:val="20"/>
                <w:szCs w:val="20"/>
                <w:color w:val="auto"/>
              </w:rPr>
            </w:pPr>
            <w:r>
              <w:rPr>
                <w:rFonts w:ascii="Arial" w:cs="Arial" w:eastAsia="Arial" w:hAnsi="Arial"/>
                <w:sz w:val="16"/>
                <w:szCs w:val="16"/>
                <w:b w:val="1"/>
                <w:bCs w:val="1"/>
                <w:color w:val="auto"/>
              </w:rPr>
              <w:t>How We Make Compensation Decisions</w:t>
            </w:r>
          </w:p>
        </w:tc>
        <w:tc>
          <w:tcPr>
            <w:tcW w:w="5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43</w:t>
            </w:r>
          </w:p>
        </w:tc>
      </w:tr>
      <w:tr>
        <w:trPr>
          <w:trHeight w:val="243"/>
        </w:trPr>
        <w:tc>
          <w:tcPr>
            <w:tcW w:w="10580" w:type="dxa"/>
            <w:vAlign w:val="bottom"/>
          </w:tcPr>
          <w:p>
            <w:pPr>
              <w:spacing w:after="0"/>
              <w:rPr>
                <w:sz w:val="20"/>
                <w:szCs w:val="20"/>
                <w:color w:val="auto"/>
              </w:rPr>
            </w:pPr>
            <w:r>
              <w:rPr>
                <w:rFonts w:ascii="Arial" w:cs="Arial" w:eastAsia="Arial" w:hAnsi="Arial"/>
                <w:sz w:val="16"/>
                <w:szCs w:val="16"/>
                <w:b w:val="1"/>
                <w:bCs w:val="1"/>
                <w:color w:val="auto"/>
              </w:rPr>
              <w:t>2025 Compensation Results</w:t>
            </w:r>
          </w:p>
        </w:tc>
        <w:tc>
          <w:tcPr>
            <w:tcW w:w="5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45</w:t>
            </w:r>
          </w:p>
        </w:tc>
      </w:tr>
      <w:tr>
        <w:trPr>
          <w:trHeight w:val="243"/>
        </w:trPr>
        <w:tc>
          <w:tcPr>
            <w:tcW w:w="10580" w:type="dxa"/>
            <w:vAlign w:val="bottom"/>
          </w:tcPr>
          <w:p>
            <w:pPr>
              <w:spacing w:after="0"/>
              <w:rPr>
                <w:sz w:val="20"/>
                <w:szCs w:val="20"/>
                <w:color w:val="auto"/>
              </w:rPr>
            </w:pPr>
            <w:r>
              <w:rPr>
                <w:rFonts w:ascii="Arial" w:cs="Arial" w:eastAsia="Arial" w:hAnsi="Arial"/>
                <w:sz w:val="16"/>
                <w:szCs w:val="16"/>
                <w:b w:val="1"/>
                <w:bCs w:val="1"/>
                <w:color w:val="auto"/>
              </w:rPr>
              <w:t>Other Compensation Policies</w:t>
            </w:r>
          </w:p>
        </w:tc>
        <w:tc>
          <w:tcPr>
            <w:tcW w:w="5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53</w:t>
            </w:r>
          </w:p>
        </w:tc>
      </w:tr>
      <w:tr>
        <w:trPr>
          <w:trHeight w:val="61"/>
        </w:trPr>
        <w:tc>
          <w:tcPr>
            <w:tcW w:w="10580" w:type="dxa"/>
            <w:vAlign w:val="bottom"/>
          </w:tcPr>
          <w:p>
            <w:pPr>
              <w:spacing w:after="0"/>
              <w:rPr>
                <w:sz w:val="5"/>
                <w:szCs w:val="5"/>
                <w:color w:val="auto"/>
              </w:rPr>
            </w:pPr>
          </w:p>
        </w:tc>
        <w:tc>
          <w:tcPr>
            <w:tcW w:w="560" w:type="dxa"/>
            <w:vAlign w:val="bottom"/>
            <w:shd w:val="clear" w:color="auto" w:fill="F1F2F2"/>
          </w:tcPr>
          <w:p>
            <w:pPr>
              <w:spacing w:after="0"/>
              <w:rPr>
                <w:sz w:val="5"/>
                <w:szCs w:val="5"/>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Executive Summary</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Our Named Executive Officers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Our business benefits from a strong leadership team with deep experience from both within and outside of our industry.</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Compensation Discussion and Analysis (“CD&amp;A”) section describes the material elements of the compensation program for the following individuals, who were our Named Executive Officers, or NEOs, for 2025: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4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Name</w:t>
            </w:r>
          </w:p>
        </w:tc>
        <w:tc>
          <w:tcPr>
            <w:tcW w:w="670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Position</w:t>
            </w:r>
          </w:p>
        </w:tc>
      </w:tr>
      <w:tr>
        <w:trPr>
          <w:trHeight w:val="239"/>
        </w:trPr>
        <w:tc>
          <w:tcPr>
            <w:tcW w:w="454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MR. GERBEN W. BAKKER</w:t>
            </w:r>
          </w:p>
        </w:tc>
        <w:tc>
          <w:tcPr>
            <w:tcW w:w="67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Chairman, President and Chief Executive Officer</w:t>
            </w:r>
          </w:p>
        </w:tc>
      </w:tr>
      <w:tr>
        <w:trPr>
          <w:trHeight w:val="281"/>
        </w:trPr>
        <w:tc>
          <w:tcPr>
            <w:tcW w:w="454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MR. WILLIAM R. SPERRY</w:t>
            </w:r>
          </w:p>
        </w:tc>
        <w:tc>
          <w:tcPr>
            <w:tcW w:w="6700" w:type="dxa"/>
            <w:vAlign w:val="bottom"/>
            <w:tcBorders>
              <w:bottom w:val="single" w:sz="8" w:color="BCBEC0"/>
            </w:tcBorders>
          </w:tcPr>
          <w:p>
            <w:pPr>
              <w:jc w:val="right"/>
              <w:spacing w:after="0" w:line="281" w:lineRule="exact"/>
              <w:rPr>
                <w:sz w:val="20"/>
                <w:szCs w:val="20"/>
                <w:color w:val="auto"/>
              </w:rPr>
            </w:pPr>
            <w:r>
              <w:rPr>
                <w:rFonts w:ascii="Arial" w:cs="Arial" w:eastAsia="Arial" w:hAnsi="Arial"/>
                <w:sz w:val="16"/>
                <w:szCs w:val="16"/>
                <w:color w:val="auto"/>
              </w:rPr>
              <w:t>Executive Vice President, Former Chief Financial Officer</w:t>
            </w:r>
            <w:r>
              <w:rPr>
                <w:rFonts w:ascii="Arial" w:cs="Arial" w:eastAsia="Arial" w:hAnsi="Arial"/>
                <w:sz w:val="26"/>
                <w:szCs w:val="26"/>
                <w:color w:val="auto"/>
                <w:vertAlign w:val="superscript"/>
              </w:rPr>
              <w:t>(1)</w:t>
            </w:r>
          </w:p>
        </w:tc>
      </w:tr>
      <w:tr>
        <w:trPr>
          <w:trHeight w:val="233"/>
        </w:trPr>
        <w:tc>
          <w:tcPr>
            <w:tcW w:w="454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MR. MARK E. MIKES</w:t>
            </w:r>
          </w:p>
        </w:tc>
        <w:tc>
          <w:tcPr>
            <w:tcW w:w="67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President, Electrical Solutions Segment</w:t>
            </w:r>
          </w:p>
        </w:tc>
      </w:tr>
      <w:tr>
        <w:trPr>
          <w:trHeight w:val="237"/>
        </w:trPr>
        <w:tc>
          <w:tcPr>
            <w:tcW w:w="454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MR. GREGORY A. GUMBS</w:t>
            </w:r>
          </w:p>
        </w:tc>
        <w:tc>
          <w:tcPr>
            <w:tcW w:w="67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President, Utility Solutions Segment</w:t>
            </w:r>
          </w:p>
        </w:tc>
      </w:tr>
      <w:tr>
        <w:trPr>
          <w:trHeight w:val="236"/>
        </w:trPr>
        <w:tc>
          <w:tcPr>
            <w:tcW w:w="454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MS. KATHERINE A. LANE</w:t>
            </w:r>
          </w:p>
        </w:tc>
        <w:tc>
          <w:tcPr>
            <w:tcW w:w="67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Executive Vice President, General Counsel and Secretary</w:t>
            </w:r>
          </w:p>
        </w:tc>
      </w:tr>
    </w:tbl>
    <w:p>
      <w:pPr>
        <w:ind w:left="340" w:hanging="332"/>
        <w:spacing w:after="0" w:line="227" w:lineRule="auto"/>
        <w:tabs>
          <w:tab w:leader="none" w:pos="340" w:val="left"/>
        </w:tabs>
        <w:numPr>
          <w:ilvl w:val="0"/>
          <w:numId w:val="46"/>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Mr. Sperry held the position of Executive Vice President, Chief Financial Officer until December 31, 2025.</w:t>
      </w:r>
    </w:p>
    <w:p>
      <w:pPr>
        <w:spacing w:after="0" w:line="128" w:lineRule="exact"/>
        <w:rPr>
          <w:rFonts w:ascii="Arial" w:cs="Arial" w:eastAsia="Arial" w:hAnsi="Arial"/>
          <w:sz w:val="24"/>
          <w:szCs w:val="24"/>
          <w:i w:val="1"/>
          <w:iCs w:val="1"/>
          <w:color w:val="auto"/>
          <w:vertAlign w:val="superscript"/>
        </w:rPr>
      </w:pPr>
    </w:p>
    <w:p>
      <w:pPr>
        <w:spacing w:after="0"/>
        <w:rPr>
          <w:rFonts w:ascii="Arial" w:cs="Arial" w:eastAsia="Arial" w:hAnsi="Arial"/>
          <w:sz w:val="24"/>
          <w:szCs w:val="24"/>
          <w:i w:val="1"/>
          <w:iCs w:val="1"/>
          <w:color w:val="auto"/>
          <w:vertAlign w:val="superscript"/>
        </w:rPr>
      </w:pPr>
      <w:r>
        <w:rPr>
          <w:rFonts w:ascii="Arial" w:cs="Arial" w:eastAsia="Arial" w:hAnsi="Arial"/>
          <w:sz w:val="1"/>
          <w:szCs w:val="1"/>
          <w:i w:val="1"/>
          <w:iCs w:val="1"/>
          <w:color w:val="auto"/>
          <w:vertAlign w:val="superscript"/>
        </w:rPr>
        <w:drawing>
          <wp:inline distT="0" distB="0" distL="0" distR="0">
            <wp:extent cx="231140" cy="20955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31140" cy="209550"/>
                    </a:xfrm>
                    <a:prstGeom prst="rect">
                      <a:avLst/>
                    </a:prstGeom>
                    <a:noFill/>
                    <a:ln>
                      <a:noFill/>
                    </a:ln>
                  </pic:spPr>
                </pic:pic>
              </a:graphicData>
            </a:graphic>
          </wp:inline>
        </w:drawing>
      </w:r>
      <w:r>
        <w:rPr>
          <w:rFonts w:ascii="Arial" w:cs="Arial" w:eastAsia="Arial" w:hAnsi="Arial"/>
          <w:sz w:val="25"/>
          <w:szCs w:val="25"/>
          <w:color w:val="auto"/>
        </w:rPr>
        <w:t xml:space="preserve">  Chief Financial Officer Succession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71525" cy="7626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71525" cy="76263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126365</wp:posOffset>
            </wp:positionV>
            <wp:extent cx="771525" cy="7626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71525" cy="762635"/>
                    </a:xfrm>
                    <a:prstGeom prst="rect">
                      <a:avLst/>
                    </a:prstGeom>
                    <a:noFill/>
                  </pic:spPr>
                </pic:pic>
              </a:graphicData>
            </a:graphic>
          </wp:anchor>
        </w:drawing>
      </w:r>
    </w:p>
    <w:p>
      <w:pPr>
        <w:spacing w:after="0" w:line="232" w:lineRule="exact"/>
        <w:rPr>
          <w:sz w:val="20"/>
          <w:szCs w:val="20"/>
          <w:color w:val="auto"/>
        </w:rPr>
      </w:pPr>
    </w:p>
    <w:p>
      <w:pPr>
        <w:ind w:left="1400"/>
        <w:spacing w:after="0"/>
        <w:tabs>
          <w:tab w:leader="none" w:pos="7060" w:val="left"/>
        </w:tabs>
        <w:rPr>
          <w:sz w:val="20"/>
          <w:szCs w:val="20"/>
          <w:color w:val="auto"/>
        </w:rPr>
      </w:pPr>
      <w:r>
        <w:rPr>
          <w:rFonts w:ascii="Arial" w:cs="Arial" w:eastAsia="Arial" w:hAnsi="Arial"/>
          <w:sz w:val="22"/>
          <w:szCs w:val="22"/>
          <w:b w:val="1"/>
          <w:bCs w:val="1"/>
          <w:color w:val="auto"/>
        </w:rPr>
        <w:t>William R. Sperry</w:t>
      </w:r>
      <w:r>
        <w:rPr>
          <w:sz w:val="20"/>
          <w:szCs w:val="20"/>
          <w:color w:val="auto"/>
        </w:rPr>
        <w:tab/>
      </w:r>
      <w:r>
        <w:rPr>
          <w:rFonts w:ascii="Arial" w:cs="Arial" w:eastAsia="Arial" w:hAnsi="Arial"/>
          <w:sz w:val="21"/>
          <w:szCs w:val="21"/>
          <w:b w:val="1"/>
          <w:bCs w:val="1"/>
          <w:color w:val="auto"/>
        </w:rPr>
        <w:t>Joseph A. Capozzoli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551815</wp:posOffset>
            </wp:positionV>
            <wp:extent cx="6249035" cy="342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24903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On September 10, 2025, Hubbell announced the retirement of William R. Sperry from his role as Chief Financial Officer of Hubbell effective December 31, 2025, after 17 years of distinguished service to the Company, including 14 years as Chief Financial Officer. Joseph A. Capozzoli, the Vice President, Finance of Hubbell’s Electrical Solutions segment was appointed to succeed Mr. Sperry as Senior Vice President, Chief Financial Officer, effective on January 1, 2026. Mr. Capozzoli joined Hubbell in 2013 as the Company’s Vice President, Controller and served as Hubbell’s Principal Accounting Officer until January 14, 2021. Mr. Capozzoli then served in various senior finance, strategy and operational roles prior to his HES segment finance role. Mr. Capozzoli’s promotion to Chief Financial Officer reflects Hubbell’s overall commitment to its talent development strategy and its focus on succession planning.</w:t>
      </w:r>
    </w:p>
    <w:p>
      <w:pPr>
        <w:spacing w:after="0" w:line="128"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36</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Engagement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771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Engaging with our shareholders helps inform our approach to our executive compensation program.</w:t>
      </w:r>
    </w:p>
    <w:p>
      <w:pPr>
        <w:spacing w:after="0" w:line="370"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Hubbell engages with shareholders throughout the year on diverse topics such as financial performance, compensation and pay for performance, corporate governance, human capital, and corporate responsibility. In the second half of 2025, members of our senior management engaged in a targeted outreach with Hubbell’s top twenty-five shareholders representing almost 60% of Hubbell’s outstanding common stock. These conversations, which were led by a cross-functional group of Hubbell’s senior leaders, helped inform the Compensation Committee’s review of the executive compensation programs and confirmed shareholders’ overall support of our compensation philosophy, design, programs and corporate governance practices.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See additional details on shareholder outreach and engagement on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0325" cy="10287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0325" cy="10287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25"/>
          <w:szCs w:val="25"/>
          <w:color w:val="auto"/>
        </w:rPr>
        <w:t>Results of 2025 Advisory Vote on Executive Compensation</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Hubbell’s 2025 advisory Say on Pay vote on executive compensation resulted in approximately 90% of the votes cast in favor of the Company’s executive compensation program. Hubbell’s Say on Pay votes have averaged approximately 92% of shareholders support for the last 10 years. We believe these strong results indicate that our shareholders are generally supportive of our compensation program.</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reaffirmed by our shareholders at the 2023 Annual Shareholders Meeting, and consistent with the Board’s recommendation, Hubbell will continue to submit a Say on Pay proposal for a non-binding vote on an annual basis.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2025 Business Performance Highlights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measure our progress not only in terms of our financial accomplishments, but also by looking at whether we served the best interests of our shareholders, suppliers, customers, employees, and the communities in which we operate. Our financial accomplishments in 2025 included:</w:t>
      </w:r>
    </w:p>
    <w:p>
      <w:pPr>
        <w:spacing w:after="0" w:line="33" w:lineRule="exact"/>
        <w:rPr>
          <w:sz w:val="20"/>
          <w:szCs w:val="20"/>
          <w:color w:val="auto"/>
        </w:rPr>
      </w:pPr>
    </w:p>
    <w:tbl>
      <w:tblPr>
        <w:tblLayout w:type="fixed"/>
        <w:tblInd w:w="880" w:type="dxa"/>
        <w:tblCellMar>
          <w:top w:w="0" w:type="dxa"/>
          <w:left w:w="0" w:type="dxa"/>
          <w:bottom w:w="0" w:type="dxa"/>
          <w:right w:w="0" w:type="dxa"/>
        </w:tblCellMar>
      </w:tblPr>
      <w:tr>
        <w:trPr>
          <w:trHeight w:val="299"/>
        </w:trPr>
        <w:tc>
          <w:tcPr>
            <w:tcW w:w="21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4060" w:type="dxa"/>
            <w:vAlign w:val="bottom"/>
          </w:tcPr>
          <w:p>
            <w:pPr>
              <w:ind w:left="1400"/>
              <w:spacing w:after="0"/>
              <w:rPr>
                <w:sz w:val="20"/>
                <w:szCs w:val="20"/>
                <w:color w:val="auto"/>
              </w:rPr>
            </w:pPr>
            <w:r>
              <w:rPr>
                <w:rFonts w:ascii="Arial" w:cs="Arial" w:eastAsia="Arial" w:hAnsi="Arial"/>
                <w:sz w:val="16"/>
                <w:szCs w:val="16"/>
                <w:b w:val="1"/>
                <w:bCs w:val="1"/>
                <w:color w:val="auto"/>
              </w:rPr>
              <w:t>Adjusted Diluted</w:t>
            </w:r>
          </w:p>
        </w:tc>
        <w:tc>
          <w:tcPr>
            <w:tcW w:w="2380" w:type="dxa"/>
            <w:vAlign w:val="bottom"/>
          </w:tcPr>
          <w:p>
            <w:pPr>
              <w:ind w:left="1000"/>
              <w:spacing w:after="0"/>
              <w:rPr>
                <w:sz w:val="20"/>
                <w:szCs w:val="20"/>
                <w:color w:val="auto"/>
              </w:rPr>
            </w:pPr>
            <w:r>
              <w:rPr>
                <w:rFonts w:ascii="Arial" w:cs="Arial" w:eastAsia="Arial" w:hAnsi="Arial"/>
                <w:sz w:val="16"/>
                <w:szCs w:val="16"/>
                <w:b w:val="1"/>
                <w:bCs w:val="1"/>
                <w:color w:val="auto"/>
                <w:w w:val="97"/>
              </w:rPr>
              <w:t>Free Cash Flow</w:t>
            </w:r>
            <w:r>
              <w:rPr>
                <w:rFonts w:ascii="Arial" w:cs="Arial" w:eastAsia="Arial" w:hAnsi="Arial"/>
                <w:sz w:val="26"/>
                <w:szCs w:val="26"/>
                <w:b w:val="1"/>
                <w:bCs w:val="1"/>
                <w:color w:val="auto"/>
                <w:w w:val="97"/>
                <w:vertAlign w:val="superscript"/>
              </w:rPr>
              <w:t>(1)</w:t>
            </w:r>
          </w:p>
        </w:tc>
      </w:tr>
      <w:tr>
        <w:trPr>
          <w:trHeight w:val="369"/>
        </w:trPr>
        <w:tc>
          <w:tcPr>
            <w:tcW w:w="2160" w:type="dxa"/>
            <w:vAlign w:val="bottom"/>
          </w:tcPr>
          <w:p>
            <w:pPr>
              <w:spacing w:after="0"/>
              <w:rPr>
                <w:sz w:val="20"/>
                <w:szCs w:val="20"/>
                <w:color w:val="auto"/>
              </w:rPr>
            </w:pPr>
            <w:r>
              <w:rPr>
                <w:rFonts w:ascii="Arial" w:cs="Arial" w:eastAsia="Arial" w:hAnsi="Arial"/>
                <w:sz w:val="16"/>
                <w:szCs w:val="16"/>
                <w:color w:val="auto"/>
              </w:rPr>
              <w:t>($ Billions)</w:t>
            </w:r>
          </w:p>
        </w:tc>
        <w:tc>
          <w:tcPr>
            <w:tcW w:w="4060" w:type="dxa"/>
            <w:vAlign w:val="bottom"/>
          </w:tcPr>
          <w:p>
            <w:pPr>
              <w:ind w:left="1400"/>
              <w:spacing w:after="0"/>
              <w:rPr>
                <w:sz w:val="20"/>
                <w:szCs w:val="20"/>
                <w:color w:val="auto"/>
              </w:rPr>
            </w:pPr>
            <w:r>
              <w:rPr>
                <w:rFonts w:ascii="Arial" w:cs="Arial" w:eastAsia="Arial" w:hAnsi="Arial"/>
                <w:sz w:val="16"/>
                <w:szCs w:val="16"/>
                <w:b w:val="1"/>
                <w:bCs w:val="1"/>
                <w:color w:val="auto"/>
              </w:rPr>
              <w:t>Earnings Per Share</w:t>
            </w:r>
            <w:r>
              <w:rPr>
                <w:rFonts w:ascii="Arial" w:cs="Arial" w:eastAsia="Arial" w:hAnsi="Arial"/>
                <w:sz w:val="26"/>
                <w:szCs w:val="26"/>
                <w:b w:val="1"/>
                <w:bCs w:val="1"/>
                <w:color w:val="auto"/>
                <w:vertAlign w:val="superscript"/>
              </w:rPr>
              <w:t>(1)</w:t>
            </w:r>
          </w:p>
        </w:tc>
        <w:tc>
          <w:tcPr>
            <w:tcW w:w="2380" w:type="dxa"/>
            <w:vAlign w:val="bottom"/>
          </w:tcPr>
          <w:p>
            <w:pPr>
              <w:ind w:left="1000"/>
              <w:spacing w:after="0"/>
              <w:rPr>
                <w:sz w:val="20"/>
                <w:szCs w:val="20"/>
                <w:color w:val="auto"/>
              </w:rPr>
            </w:pPr>
            <w:r>
              <w:rPr>
                <w:rFonts w:ascii="Arial" w:cs="Arial" w:eastAsia="Arial" w:hAnsi="Arial"/>
                <w:sz w:val="16"/>
                <w:szCs w:val="16"/>
                <w:color w:val="auto"/>
              </w:rPr>
              <w:t>($ Millions)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31115</wp:posOffset>
            </wp:positionV>
            <wp:extent cx="6480810" cy="17145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48081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340" w:hanging="332"/>
        <w:spacing w:after="0" w:line="205" w:lineRule="auto"/>
        <w:tabs>
          <w:tab w:leader="none" w:pos="340" w:val="left"/>
        </w:tabs>
        <w:numPr>
          <w:ilvl w:val="0"/>
          <w:numId w:val="4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diluted earnings per share and free cash flow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130"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color w:val="auto"/>
        </w:rPr>
        <w:t>2026 PROXY STATEMENT</w:t>
      </w:r>
      <w:r>
        <w:rPr>
          <w:sz w:val="20"/>
          <w:szCs w:val="20"/>
          <w:color w:val="auto"/>
        </w:rPr>
        <w:tab/>
      </w:r>
      <w:r>
        <w:rPr>
          <w:rFonts w:ascii="Arial" w:cs="Arial" w:eastAsia="Arial" w:hAnsi="Arial"/>
          <w:sz w:val="16"/>
          <w:szCs w:val="16"/>
          <w:b w:val="1"/>
          <w:bCs w:val="1"/>
          <w:color w:val="FFE933"/>
        </w:rPr>
        <w:t>|</w:t>
      </w:r>
      <w:r>
        <w:rPr>
          <w:rFonts w:ascii="Arial" w:cs="Arial" w:eastAsia="Arial" w:hAnsi="Arial"/>
          <w:sz w:val="16"/>
          <w:szCs w:val="16"/>
          <w:b w:val="1"/>
          <w:bCs w:val="1"/>
          <w:color w:val="auto"/>
        </w:rPr>
        <w:tab/>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248602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32320" cy="248602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We executed a disciplined plan of capital deployment.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5"/>
          <w:szCs w:val="25"/>
          <w:color w:val="auto"/>
        </w:rPr>
        <w:t>Compensation Summary</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Compensation Committee, in consultation with Exequity, the Board’s independent compensation consultant, reviews the objectives and components of Hubbell’s executive compensation program and reviewed and approved the 2025 compensation earned by our NEOs.</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believe the elements of our compensation program continue to drive our overall pay for performance philosophy and alignment with our shareholders, and encourage continued execution on Hubbell’s strategic initiatives. The compensation program includes both short-term and long-term incentives for all NEOs.</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Short-Term Incentive Metrics and Weighting</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All employees eligible to participate in our Short-Term Incentive program, including our NEOs, can earn an annual bonus based 80% on financial results, with the remaining 20% tied to initiatives aligned to our annual and multi-year strategy. This allows the Compensation Committee to further prioritize and appropriately reward performance on critical non-financial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100330</wp:posOffset>
            </wp:positionV>
            <wp:extent cx="5443220" cy="10287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443220"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See additional details on Short-Term Incentives on pages 45-49.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59690" cy="946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90" cy="94615"/>
                    </a:xfrm>
                    <a:prstGeom prst="rect">
                      <a:avLst/>
                    </a:prstGeom>
                    <a:noFill/>
                  </pic:spPr>
                </pic:pic>
              </a:graphicData>
            </a:graphic>
          </wp:anchor>
        </w:drawing>
      </w:r>
    </w:p>
    <w:p>
      <w:pPr>
        <w:spacing w:after="0" w:line="181" w:lineRule="exact"/>
        <w:rPr>
          <w:sz w:val="20"/>
          <w:szCs w:val="20"/>
          <w:color w:val="auto"/>
        </w:rPr>
      </w:pPr>
    </w:p>
    <w:p>
      <w:pPr>
        <w:jc w:val="both"/>
        <w:ind w:left="340" w:hanging="332"/>
        <w:spacing w:after="0" w:line="205" w:lineRule="auto"/>
        <w:tabs>
          <w:tab w:leader="none" w:pos="340" w:val="left"/>
        </w:tabs>
        <w:numPr>
          <w:ilvl w:val="0"/>
          <w:numId w:val="4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earnings per share and free cash flow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130"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38</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Long-Term Incentive Metrics and Weighting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overall design of our Long-Term Incentive program focuses our NEOs on our strategic priorities of profitable growth balanced with operational effectiveness, while ensuring alignment with shareholder interests. To that end, 75% of the Long-Term Incentive Award is performance-oriented and the remaining 25% is retention-oriented. The performance share grant has three equally-weighted financial performance metrics and constitutes 50% of the overall equity award. Stock appreciation rights, weighted at 25% of the long-term incentive value, are tied to the appreciation of our stock price, ensuring alignment with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106045</wp:posOffset>
            </wp:positionV>
            <wp:extent cx="5829300" cy="16973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82930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See additional details on Long-Term Incentives on pages 49-53.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59690" cy="939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9690" cy="93980"/>
                    </a:xfrm>
                    <a:prstGeom prst="rect">
                      <a:avLst/>
                    </a:prstGeom>
                    <a:noFill/>
                  </pic:spPr>
                </pic:pic>
              </a:graphicData>
            </a:graphic>
          </wp:anchor>
        </w:drawing>
      </w:r>
    </w:p>
    <w:p>
      <w:pPr>
        <w:spacing w:after="0" w:line="181" w:lineRule="exact"/>
        <w:rPr>
          <w:sz w:val="20"/>
          <w:szCs w:val="20"/>
          <w:color w:val="auto"/>
        </w:rPr>
      </w:pPr>
    </w:p>
    <w:p>
      <w:pPr>
        <w:jc w:val="both"/>
        <w:ind w:left="340" w:hanging="332"/>
        <w:spacing w:after="0" w:line="269" w:lineRule="auto"/>
        <w:tabs>
          <w:tab w:leader="none" w:pos="340" w:val="left"/>
        </w:tabs>
        <w:numPr>
          <w:ilvl w:val="0"/>
          <w:numId w:val="49"/>
        </w:numPr>
        <w:rPr>
          <w:rFonts w:ascii="Arial" w:cs="Arial" w:eastAsia="Arial" w:hAnsi="Arial"/>
          <w:sz w:val="14"/>
          <w:szCs w:val="14"/>
          <w:i w:val="1"/>
          <w:iCs w:val="1"/>
          <w:color w:val="auto"/>
        </w:rPr>
      </w:pPr>
      <w:r>
        <w:rPr>
          <w:rFonts w:ascii="Arial" w:cs="Arial" w:eastAsia="Arial" w:hAnsi="Arial"/>
          <w:sz w:val="14"/>
          <w:szCs w:val="14"/>
          <w:i w:val="1"/>
          <w:iCs w:val="1"/>
          <w:color w:val="auto"/>
        </w:rPr>
        <w:t>Adjusted operating profit margin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CEO Pay vs. Realized Pay vs. Company Performance</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Summary Compensation Table on page 57 discloses annual compensation for our NEOs in accordance with SEC regulations. These regulations require the Long-term Incentive awards to be presented at their grant date value. While grant-date pay can be a helpful measure for comparing target pay across companies, it may not reflect the actual value ultimately delivered to the NEOs based on Company performance.</w:t>
      </w:r>
    </w:p>
    <w:p>
      <w:pPr>
        <w:spacing w:after="0" w:line="14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order to better assess the relationship between pay and performance, the Compensation Committee reviews the NEOs’ realized compensation and performance on both an absolute basis and on a relative basis in comparison to our peer group. The following table explains the pay shown in the Summary Compensation Table and realized compensation and how they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6"/>
          <w:szCs w:val="16"/>
          <w:b w:val="1"/>
          <w:bCs w:val="1"/>
          <w:color w:val="auto"/>
        </w:rPr>
        <w:t>Pay Summary</w:t>
      </w:r>
      <w:r>
        <w:rPr>
          <w:sz w:val="20"/>
          <w:szCs w:val="20"/>
          <w:color w:val="auto"/>
        </w:rPr>
        <w:tab/>
      </w:r>
      <w:r>
        <w:rPr>
          <w:rFonts w:ascii="Arial" w:cs="Arial" w:eastAsia="Arial" w:hAnsi="Arial"/>
          <w:sz w:val="15"/>
          <w:szCs w:val="15"/>
          <w:b w:val="1"/>
          <w:bCs w:val="1"/>
          <w:color w:val="auto"/>
        </w:rPr>
        <w:t>Description</w:t>
      </w:r>
    </w:p>
    <w:p>
      <w:pPr>
        <w:spacing w:after="0" w:line="59"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6"/>
          <w:szCs w:val="16"/>
          <w:b w:val="1"/>
          <w:bCs w:val="1"/>
          <w:color w:val="auto"/>
        </w:rPr>
        <w:t>Summary</w:t>
      </w:r>
      <w:r>
        <w:rPr>
          <w:sz w:val="20"/>
          <w:szCs w:val="20"/>
          <w:color w:val="auto"/>
        </w:rPr>
        <w:tab/>
      </w:r>
      <w:r>
        <w:rPr>
          <w:rFonts w:ascii="Arial" w:cs="Arial" w:eastAsia="Arial" w:hAnsi="Arial"/>
          <w:sz w:val="16"/>
          <w:szCs w:val="16"/>
          <w:b w:val="1"/>
          <w:bCs w:val="1"/>
          <w:i w:val="1"/>
          <w:iCs w:val="1"/>
          <w:color w:val="auto"/>
        </w:rPr>
        <w:t>SEC mandated disclosure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Compensation</w:t>
      </w:r>
    </w:p>
    <w:p>
      <w:pPr>
        <w:spacing w:after="0" w:line="5"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6"/>
          <w:szCs w:val="16"/>
          <w:b w:val="1"/>
          <w:bCs w:val="1"/>
          <w:color w:val="auto"/>
        </w:rPr>
        <w:t>Table (SCT)</w:t>
      </w:r>
      <w:r>
        <w:rPr>
          <w:sz w:val="20"/>
          <w:szCs w:val="20"/>
          <w:color w:val="auto"/>
        </w:rPr>
        <w:tab/>
      </w:r>
      <w:r>
        <w:rPr>
          <w:rFonts w:ascii="Arial" w:cs="Arial" w:eastAsia="Arial" w:hAnsi="Arial"/>
          <w:sz w:val="16"/>
          <w:szCs w:val="16"/>
          <w:color w:val="auto"/>
        </w:rPr>
        <w:t>Compensation awarded in the reporting year, as well as value estimates for other types of compensation.</w:t>
      </w:r>
    </w:p>
    <w:p>
      <w:pPr>
        <w:spacing w:after="0" w:line="178" w:lineRule="exact"/>
        <w:rPr>
          <w:sz w:val="20"/>
          <w:szCs w:val="20"/>
          <w:color w:val="auto"/>
        </w:rPr>
      </w:pPr>
    </w:p>
    <w:p>
      <w:pPr>
        <w:jc w:val="both"/>
        <w:ind w:left="1280" w:right="220"/>
        <w:spacing w:after="0" w:line="266" w:lineRule="auto"/>
        <w:rPr>
          <w:sz w:val="20"/>
          <w:szCs w:val="20"/>
          <w:color w:val="auto"/>
        </w:rPr>
      </w:pPr>
      <w:r>
        <w:rPr>
          <w:rFonts w:ascii="Arial" w:cs="Arial" w:eastAsia="Arial" w:hAnsi="Arial"/>
          <w:sz w:val="16"/>
          <w:szCs w:val="16"/>
          <w:color w:val="auto"/>
        </w:rPr>
        <w:t>Amounts shown for base salary, bonuses, and cash incentives are the amounts earned in the year indicated. Amounts shown for Long-Term Incentive awards reflect the grant-date fair value of restricted shares, stock appreciation rights, and performance shares granted in the year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ind w:left="60"/>
        <w:spacing w:after="0"/>
        <w:tabs>
          <w:tab w:leader="none" w:pos="1260" w:val="left"/>
        </w:tabs>
        <w:rPr>
          <w:sz w:val="20"/>
          <w:szCs w:val="20"/>
          <w:color w:val="auto"/>
        </w:rPr>
      </w:pPr>
      <w:r>
        <w:rPr>
          <w:rFonts w:ascii="Arial" w:cs="Arial" w:eastAsia="Arial" w:hAnsi="Arial"/>
          <w:sz w:val="16"/>
          <w:szCs w:val="16"/>
          <w:b w:val="1"/>
          <w:bCs w:val="1"/>
          <w:color w:val="auto"/>
        </w:rPr>
        <w:t>Realized</w:t>
      </w:r>
      <w:r>
        <w:rPr>
          <w:sz w:val="20"/>
          <w:szCs w:val="20"/>
          <w:color w:val="auto"/>
        </w:rPr>
        <w:tab/>
      </w:r>
      <w:r>
        <w:rPr>
          <w:rFonts w:ascii="Arial" w:cs="Arial" w:eastAsia="Arial" w:hAnsi="Arial"/>
          <w:sz w:val="16"/>
          <w:szCs w:val="16"/>
          <w:b w:val="1"/>
          <w:bCs w:val="1"/>
          <w:i w:val="1"/>
          <w:iCs w:val="1"/>
          <w:color w:val="auto"/>
        </w:rPr>
        <w:t>Used to measure impact of performance on pay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Compensation</w:t>
      </w:r>
    </w:p>
    <w:p>
      <w:pPr>
        <w:spacing w:after="0" w:line="5" w:lineRule="exact"/>
        <w:rPr>
          <w:sz w:val="20"/>
          <w:szCs w:val="20"/>
          <w:color w:val="auto"/>
        </w:rPr>
      </w:pPr>
    </w:p>
    <w:p>
      <w:pPr>
        <w:ind w:left="1280" w:right="320"/>
        <w:spacing w:after="0" w:line="265" w:lineRule="auto"/>
        <w:rPr>
          <w:sz w:val="20"/>
          <w:szCs w:val="20"/>
          <w:color w:val="auto"/>
        </w:rPr>
      </w:pPr>
      <w:r>
        <w:rPr>
          <w:rFonts w:ascii="Arial" w:cs="Arial" w:eastAsia="Arial" w:hAnsi="Arial"/>
          <w:sz w:val="16"/>
          <w:szCs w:val="16"/>
          <w:color w:val="auto"/>
        </w:rPr>
        <w:t>Compensation earned during the reporting year, including the actual results of performance-based Long-Term Incentive compensation, plus compensation awarded prior to the reporting year that remains dependent on Company performance.</w:t>
      </w:r>
    </w:p>
    <w:p>
      <w:pPr>
        <w:spacing w:after="0" w:line="145" w:lineRule="exact"/>
        <w:rPr>
          <w:sz w:val="20"/>
          <w:szCs w:val="20"/>
          <w:color w:val="auto"/>
        </w:rPr>
      </w:pPr>
    </w:p>
    <w:p>
      <w:pPr>
        <w:ind w:left="1280" w:right="160"/>
        <w:spacing w:after="0" w:line="259" w:lineRule="auto"/>
        <w:rPr>
          <w:sz w:val="20"/>
          <w:szCs w:val="20"/>
          <w:color w:val="auto"/>
        </w:rPr>
      </w:pPr>
      <w:r>
        <w:rPr>
          <w:rFonts w:ascii="Arial" w:cs="Arial" w:eastAsia="Arial" w:hAnsi="Arial"/>
          <w:sz w:val="16"/>
          <w:szCs w:val="16"/>
          <w:color w:val="auto"/>
        </w:rPr>
        <w:t>Amounts included for base salary, bonuses, and cash incentives are the amounts earned in the year indicated (consistent with the SCT). Amounts included for Long-Term Incentive awards reflect the actual value of restricted shares that vested during the period and performance awards paid out during the period (if any), the value of stock appreciation rights exercised during the period, and changes in the value of unvested restricted shares and stock appreciation rights based on changes in our stock price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3771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Our CEO’s pay is aligned with Hubbell’s performance.</w:t>
      </w:r>
    </w:p>
    <w:p>
      <w:pPr>
        <w:spacing w:after="0" w:line="343" w:lineRule="exact"/>
        <w:rPr>
          <w:sz w:val="20"/>
          <w:szCs w:val="20"/>
          <w:color w:val="auto"/>
        </w:rPr>
      </w:pPr>
    </w:p>
    <w:p>
      <w:pPr>
        <w:jc w:val="right"/>
        <w:spacing w:after="0"/>
        <w:tabs>
          <w:tab w:leader="none" w:pos="380" w:val="left"/>
          <w:tab w:leader="none" w:pos="160" w:val="left"/>
        </w:tabs>
        <w:rPr>
          <w:sz w:val="20"/>
          <w:szCs w:val="20"/>
          <w:color w:val="auto"/>
        </w:rPr>
      </w:pPr>
      <w:r>
        <w:rPr>
          <w:rFonts w:ascii="Arial" w:cs="Arial" w:eastAsia="Arial" w:hAnsi="Arial"/>
          <w:sz w:val="16"/>
          <w:szCs w:val="16"/>
          <w:color w:val="auto"/>
        </w:rPr>
        <w:t>2026 PROXY STATEMENT</w:t>
      </w:r>
      <w:r>
        <w:rPr>
          <w:sz w:val="20"/>
          <w:szCs w:val="20"/>
          <w:color w:val="auto"/>
        </w:rPr>
        <w:tab/>
      </w:r>
      <w:r>
        <w:rPr>
          <w:rFonts w:ascii="Arial" w:cs="Arial" w:eastAsia="Arial" w:hAnsi="Arial"/>
          <w:sz w:val="16"/>
          <w:szCs w:val="16"/>
          <w:b w:val="1"/>
          <w:bCs w:val="1"/>
          <w:color w:val="FFE933"/>
        </w:rPr>
        <w:t>|</w:t>
      </w:r>
      <w:r>
        <w:rPr>
          <w:rFonts w:ascii="Arial" w:cs="Arial" w:eastAsia="Arial" w:hAnsi="Arial"/>
          <w:sz w:val="16"/>
          <w:szCs w:val="16"/>
          <w:b w:val="1"/>
          <w:bCs w:val="1"/>
          <w:color w:val="auto"/>
        </w:rPr>
        <w:tab/>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graph below identifies for Hubbell and for our Peer Group (as described on pages 44-45) the relationship between CEO pay rank and relative return to shareholders for 2025. Each black dot represents a company in the Peer Group. The blue dot marked “Hubbell (2025)” reflects our CEO’s 2025 realized compensation and our Total Shareholder Return (TSR) performance. The shaded area marks the range that characterizes ideal pay-for-performance alignment. Peer company estimated compensation reflects 2024 compensation as reported, including 2025 stock price performance and corresponding 2025 TSR performance. This graphic illustrates that our CEO’s compensation is aligned with the Company’s TSR performance, and therefore with our shareholders’ experience as well.</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1-YEAR CEO REALIZED COMPENSATION PERCENTILE VS.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TOTAL SHAREHOLDER RETURN PERCENTILE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121920</wp:posOffset>
            </wp:positionV>
            <wp:extent cx="4029075" cy="22631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029075"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6"/>
          <w:szCs w:val="16"/>
          <w:b w:val="1"/>
          <w:bCs w:val="1"/>
          <w:color w:val="auto"/>
        </w:rPr>
        <w:t>40</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Compensation Program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Executive Compensation Objectives</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compensation decisions for 2025 were directly influenced by our operating results, peer benchmarking, and our shareholder outreach. We use the following objectives to guide our decisions: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00" w:type="dxa"/>
            <w:vAlign w:val="bottom"/>
            <w:tcBorders>
              <w:top w:val="single" w:sz="8" w:color="BCBEC0"/>
              <w:bottom w:val="single" w:sz="8" w:color="BCBEC0"/>
            </w:tcBorders>
          </w:tcPr>
          <w:p>
            <w:pPr>
              <w:ind w:left="60"/>
              <w:spacing w:after="0"/>
              <w:rPr>
                <w:sz w:val="20"/>
                <w:szCs w:val="20"/>
                <w:color w:val="auto"/>
              </w:rPr>
            </w:pPr>
            <w:r>
              <w:rPr>
                <w:rFonts w:ascii="Arial" w:cs="Arial" w:eastAsia="Arial" w:hAnsi="Arial"/>
                <w:sz w:val="16"/>
                <w:szCs w:val="16"/>
                <w:b w:val="1"/>
                <w:bCs w:val="1"/>
                <w:color w:val="auto"/>
              </w:rPr>
              <w:t>PAY FOR PERFORMANCE</w:t>
            </w:r>
          </w:p>
        </w:tc>
        <w:tc>
          <w:tcPr>
            <w:tcW w:w="8740" w:type="dxa"/>
            <w:vAlign w:val="bottom"/>
            <w:tcBorders>
              <w:top w:val="single" w:sz="8" w:color="BCBEC0"/>
              <w:bottom w:val="single" w:sz="8" w:color="BCBEC0"/>
            </w:tcBorders>
          </w:tcPr>
          <w:p>
            <w:pPr>
              <w:ind w:left="420"/>
              <w:spacing w:after="0"/>
              <w:rPr>
                <w:sz w:val="20"/>
                <w:szCs w:val="20"/>
                <w:color w:val="auto"/>
              </w:rPr>
            </w:pPr>
            <w:r>
              <w:rPr>
                <w:rFonts w:ascii="Arial" w:cs="Arial" w:eastAsia="Arial" w:hAnsi="Arial"/>
                <w:sz w:val="16"/>
                <w:szCs w:val="16"/>
                <w:color w:val="auto"/>
              </w:rPr>
              <w:t>Align interests of executives with those of our shareholders by linking executive pay to Company performance.</w:t>
            </w:r>
          </w:p>
        </w:tc>
      </w:tr>
      <w:tr>
        <w:trPr>
          <w:trHeight w:val="168"/>
        </w:trPr>
        <w:tc>
          <w:tcPr>
            <w:tcW w:w="25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ATTRACT, RETAIN, AND</w:t>
            </w:r>
          </w:p>
        </w:tc>
        <w:tc>
          <w:tcPr>
            <w:tcW w:w="8740" w:type="dxa"/>
            <w:vAlign w:val="bottom"/>
          </w:tcPr>
          <w:p>
            <w:pPr>
              <w:ind w:left="420"/>
              <w:spacing w:after="0" w:line="168" w:lineRule="exact"/>
              <w:rPr>
                <w:sz w:val="20"/>
                <w:szCs w:val="20"/>
                <w:color w:val="auto"/>
              </w:rPr>
            </w:pPr>
            <w:r>
              <w:rPr>
                <w:rFonts w:ascii="Arial" w:cs="Arial" w:eastAsia="Arial" w:hAnsi="Arial"/>
                <w:sz w:val="16"/>
                <w:szCs w:val="16"/>
                <w:color w:val="auto"/>
              </w:rPr>
              <w:t>Incentivize high-quality executive talent essential to our immediate and long-term success.</w:t>
            </w:r>
          </w:p>
        </w:tc>
      </w:tr>
      <w:tr>
        <w:trPr>
          <w:trHeight w:val="218"/>
        </w:trPr>
        <w:tc>
          <w:tcPr>
            <w:tcW w:w="2500" w:type="dxa"/>
            <w:vAlign w:val="bottom"/>
          </w:tcPr>
          <w:p>
            <w:pPr>
              <w:ind w:left="60"/>
              <w:spacing w:after="0"/>
              <w:rPr>
                <w:sz w:val="20"/>
                <w:szCs w:val="20"/>
                <w:color w:val="auto"/>
              </w:rPr>
            </w:pPr>
            <w:r>
              <w:rPr>
                <w:rFonts w:ascii="Arial" w:cs="Arial" w:eastAsia="Arial" w:hAnsi="Arial"/>
                <w:sz w:val="16"/>
                <w:szCs w:val="16"/>
                <w:b w:val="1"/>
                <w:bCs w:val="1"/>
                <w:color w:val="auto"/>
              </w:rPr>
              <w:t>MOTIVATE</w:t>
            </w:r>
          </w:p>
        </w:tc>
        <w:tc>
          <w:tcPr>
            <w:tcW w:w="87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tabs>
          <w:tab w:leader="none" w:pos="2900" w:val="left"/>
        </w:tabs>
        <w:rPr>
          <w:sz w:val="20"/>
          <w:szCs w:val="20"/>
          <w:color w:val="auto"/>
        </w:rPr>
      </w:pPr>
      <w:r>
        <w:rPr>
          <w:rFonts w:ascii="Arial" w:cs="Arial" w:eastAsia="Arial" w:hAnsi="Arial"/>
          <w:sz w:val="16"/>
          <w:szCs w:val="16"/>
          <w:b w:val="1"/>
          <w:bCs w:val="1"/>
          <w:color w:val="auto"/>
        </w:rPr>
        <w:t>DELIVER COMPETITIVE AND FAIR</w:t>
      </w:r>
      <w:r>
        <w:rPr>
          <w:sz w:val="20"/>
          <w:szCs w:val="20"/>
          <w:color w:val="auto"/>
        </w:rPr>
        <w:tab/>
      </w:r>
      <w:r>
        <w:rPr>
          <w:rFonts w:ascii="Arial" w:cs="Arial" w:eastAsia="Arial" w:hAnsi="Arial"/>
          <w:sz w:val="16"/>
          <w:szCs w:val="16"/>
          <w:color w:val="auto"/>
        </w:rPr>
        <w:t>Target compensation for our executives to align with relevant external benchmarks, considering their role,</w:t>
      </w:r>
    </w:p>
    <w:p>
      <w:pPr>
        <w:spacing w:after="0" w:line="5" w:lineRule="exact"/>
        <w:rPr>
          <w:sz w:val="20"/>
          <w:szCs w:val="20"/>
          <w:color w:val="auto"/>
        </w:rPr>
      </w:pPr>
    </w:p>
    <w:p>
      <w:pPr>
        <w:ind w:left="60"/>
        <w:spacing w:after="0"/>
        <w:tabs>
          <w:tab w:leader="none" w:pos="2900" w:val="left"/>
        </w:tabs>
        <w:rPr>
          <w:sz w:val="20"/>
          <w:szCs w:val="20"/>
          <w:color w:val="auto"/>
        </w:rPr>
      </w:pPr>
      <w:r>
        <w:rPr>
          <w:rFonts w:ascii="Arial" w:cs="Arial" w:eastAsia="Arial" w:hAnsi="Arial"/>
          <w:sz w:val="16"/>
          <w:szCs w:val="16"/>
          <w:b w:val="1"/>
          <w:bCs w:val="1"/>
          <w:color w:val="auto"/>
        </w:rPr>
        <w:t>COMPENSATION</w:t>
      </w:r>
      <w:r>
        <w:rPr>
          <w:sz w:val="20"/>
          <w:szCs w:val="20"/>
          <w:color w:val="auto"/>
        </w:rPr>
        <w:tab/>
      </w:r>
      <w:r>
        <w:rPr>
          <w:rFonts w:ascii="Arial" w:cs="Arial" w:eastAsia="Arial" w:hAnsi="Arial"/>
          <w:sz w:val="16"/>
          <w:szCs w:val="16"/>
          <w:color w:val="auto"/>
        </w:rPr>
        <w:t>responsibilities, tenure, and Company and individual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Compensation Governance Snapshot</w:t>
      </w:r>
    </w:p>
    <w:p>
      <w:pPr>
        <w:spacing w:after="0" w:line="207" w:lineRule="exact"/>
        <w:rPr>
          <w:sz w:val="20"/>
          <w:szCs w:val="20"/>
          <w:color w:val="auto"/>
        </w:rPr>
      </w:pPr>
    </w:p>
    <w:p>
      <w:pPr>
        <w:ind w:right="860"/>
        <w:spacing w:after="0" w:line="286" w:lineRule="auto"/>
        <w:rPr>
          <w:sz w:val="20"/>
          <w:szCs w:val="20"/>
          <w:color w:val="auto"/>
        </w:rPr>
      </w:pPr>
      <w:r>
        <w:rPr>
          <w:rFonts w:ascii="Arial" w:cs="Arial" w:eastAsia="Arial" w:hAnsi="Arial"/>
          <w:sz w:val="16"/>
          <w:szCs w:val="16"/>
          <w:color w:val="auto"/>
        </w:rPr>
        <w:t>The following are highlights of our compensation practices and decisions that exemplify our commitment to sound compensation governance and shareholders’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2743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65" w:lineRule="exact"/>
        <w:rPr>
          <w:sz w:val="20"/>
          <w:szCs w:val="20"/>
          <w:color w:val="auto"/>
        </w:rPr>
      </w:pPr>
    </w:p>
    <w:p>
      <w:pPr>
        <w:ind w:left="2060"/>
        <w:spacing w:after="0"/>
        <w:rPr>
          <w:sz w:val="20"/>
          <w:szCs w:val="20"/>
          <w:color w:val="auto"/>
        </w:rPr>
      </w:pPr>
      <w:r>
        <w:rPr>
          <w:sz w:val="1"/>
          <w:szCs w:val="1"/>
          <w:color w:val="auto"/>
        </w:rPr>
        <w:drawing>
          <wp:inline distT="0" distB="0" distL="0" distR="0">
            <wp:extent cx="171450" cy="163195"/>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71450" cy="163195"/>
                    </a:xfrm>
                    <a:prstGeom prst="rect">
                      <a:avLst/>
                    </a:prstGeom>
                    <a:noFill/>
                    <a:ln>
                      <a:noFill/>
                    </a:ln>
                  </pic:spPr>
                </pic:pic>
              </a:graphicData>
            </a:graphic>
          </wp:inline>
        </w:drawing>
      </w:r>
      <w:r>
        <w:rPr>
          <w:rFonts w:ascii="Arial" w:cs="Arial" w:eastAsia="Arial" w:hAnsi="Arial"/>
          <w:sz w:val="18"/>
          <w:szCs w:val="18"/>
          <w:b w:val="1"/>
          <w:bCs w:val="1"/>
          <w:color w:val="auto"/>
        </w:rPr>
        <w:t xml:space="preserve"> What We Do                                        </w:t>
      </w:r>
      <w:r>
        <w:rPr>
          <w:sz w:val="1"/>
          <w:szCs w:val="1"/>
          <w:color w:val="auto"/>
        </w:rPr>
        <w:drawing>
          <wp:inline distT="0" distB="0" distL="0" distR="0">
            <wp:extent cx="171450" cy="171450"/>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18"/>
          <w:szCs w:val="18"/>
          <w:b w:val="1"/>
          <w:bCs w:val="1"/>
          <w:color w:val="auto"/>
        </w:rPr>
        <w:t xml:space="preserve"> What We Don’t Do</w:t>
      </w:r>
    </w:p>
    <w:p>
      <w:pPr>
        <w:sectPr>
          <w:pgSz w:w="11900" w:h="16838" w:orient="portrait"/>
          <w:cols w:equalWidth="0" w:num="1">
            <w:col w:w="11240"/>
          </w:cols>
          <w:pgMar w:left="320" w:top="238" w:right="339" w:bottom="1440" w:gutter="0" w:footer="0" w:header="0"/>
        </w:sectPr>
      </w:pPr>
    </w:p>
    <w:p>
      <w:pPr>
        <w:spacing w:after="0" w:line="67" w:lineRule="exact"/>
        <w:rPr>
          <w:sz w:val="20"/>
          <w:szCs w:val="20"/>
          <w:color w:val="auto"/>
        </w:rPr>
      </w:pPr>
    </w:p>
    <w:p>
      <w:pPr>
        <w:jc w:val="both"/>
        <w:ind w:left="60" w:right="80"/>
        <w:spacing w:after="0" w:line="286" w:lineRule="auto"/>
        <w:rPr>
          <w:sz w:val="20"/>
          <w:szCs w:val="20"/>
          <w:color w:val="auto"/>
        </w:rPr>
      </w:pPr>
      <w:r>
        <w:rPr>
          <w:rFonts w:ascii="Arial" w:cs="Arial" w:eastAsia="Arial" w:hAnsi="Arial"/>
          <w:sz w:val="16"/>
          <w:szCs w:val="16"/>
          <w:b w:val="1"/>
          <w:bCs w:val="1"/>
          <w:color w:val="auto"/>
        </w:rPr>
        <w:t xml:space="preserve">Pay for Performance. </w:t>
      </w:r>
      <w:r>
        <w:rPr>
          <w:rFonts w:ascii="Arial" w:cs="Arial" w:eastAsia="Arial" w:hAnsi="Arial"/>
          <w:sz w:val="16"/>
          <w:szCs w:val="16"/>
          <w:color w:val="auto"/>
        </w:rPr>
        <w:t>We closely align pay and performance by placing a</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portion of total direct compensation at risk.</w:t>
      </w:r>
    </w:p>
    <w:p>
      <w:pPr>
        <w:spacing w:after="0" w:line="331" w:lineRule="exact"/>
        <w:rPr>
          <w:sz w:val="20"/>
          <w:szCs w:val="20"/>
          <w:color w:val="auto"/>
        </w:rPr>
      </w:pPr>
    </w:p>
    <w:p>
      <w:pPr>
        <w:jc w:val="both"/>
        <w:ind w:left="60" w:right="80"/>
        <w:spacing w:after="0" w:line="257" w:lineRule="auto"/>
        <w:rPr>
          <w:sz w:val="20"/>
          <w:szCs w:val="20"/>
          <w:color w:val="auto"/>
        </w:rPr>
      </w:pPr>
      <w:r>
        <w:rPr>
          <w:rFonts w:ascii="Arial" w:cs="Arial" w:eastAsia="Arial" w:hAnsi="Arial"/>
          <w:sz w:val="16"/>
          <w:szCs w:val="16"/>
          <w:b w:val="1"/>
          <w:bCs w:val="1"/>
          <w:color w:val="auto"/>
        </w:rPr>
        <w:t xml:space="preserve">Independent Compensation Consultant. </w:t>
      </w:r>
      <w:r>
        <w:rPr>
          <w:rFonts w:ascii="Arial" w:cs="Arial" w:eastAsia="Arial" w:hAnsi="Arial"/>
          <w:sz w:val="16"/>
          <w:szCs w:val="16"/>
          <w:color w:val="auto"/>
        </w:rPr>
        <w:t>The Compensation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retains an independent compensation consultant to review and advise on executive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3497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60" w:right="60"/>
        <w:spacing w:after="0" w:line="250" w:lineRule="auto"/>
        <w:rPr>
          <w:sz w:val="20"/>
          <w:szCs w:val="20"/>
          <w:color w:val="auto"/>
        </w:rPr>
      </w:pPr>
      <w:r>
        <w:rPr>
          <w:rFonts w:ascii="Arial" w:cs="Arial" w:eastAsia="Arial" w:hAnsi="Arial"/>
          <w:sz w:val="16"/>
          <w:szCs w:val="16"/>
          <w:b w:val="1"/>
          <w:bCs w:val="1"/>
          <w:color w:val="auto"/>
        </w:rPr>
        <w:t xml:space="preserve">Robust Performance Goals. </w:t>
      </w:r>
      <w:r>
        <w:rPr>
          <w:rFonts w:ascii="Arial" w:cs="Arial" w:eastAsia="Arial" w:hAnsi="Arial"/>
          <w:sz w:val="16"/>
          <w:szCs w:val="16"/>
          <w:color w:val="auto"/>
        </w:rPr>
        <w:t>We establish clear, measurable goals and</w:t>
      </w:r>
      <w:r>
        <w:rPr>
          <w:rFonts w:ascii="Arial" w:cs="Arial" w:eastAsia="Arial" w:hAnsi="Arial"/>
          <w:sz w:val="16"/>
          <w:szCs w:val="16"/>
          <w:b w:val="1"/>
          <w:bCs w:val="1"/>
          <w:color w:val="auto"/>
        </w:rPr>
        <w:t xml:space="preserve"> </w:t>
      </w:r>
      <w:r>
        <w:rPr>
          <w:rFonts w:ascii="Arial" w:cs="Arial" w:eastAsia="Arial" w:hAnsi="Arial"/>
          <w:sz w:val="16"/>
          <w:szCs w:val="16"/>
          <w:color w:val="auto"/>
        </w:rPr>
        <w:t>hold executives accountable for achieving defined targets to earn a payout under our incentive plans. Performance goals are aligned with key operating priorities designed to drive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97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60" w:right="200"/>
        <w:spacing w:after="0" w:line="270" w:lineRule="auto"/>
        <w:rPr>
          <w:sz w:val="20"/>
          <w:szCs w:val="20"/>
          <w:color w:val="auto"/>
        </w:rPr>
      </w:pPr>
      <w:r>
        <w:rPr>
          <w:rFonts w:ascii="Arial" w:cs="Arial" w:eastAsia="Arial" w:hAnsi="Arial"/>
          <w:sz w:val="16"/>
          <w:szCs w:val="16"/>
          <w:b w:val="1"/>
          <w:bCs w:val="1"/>
          <w:color w:val="auto"/>
        </w:rPr>
        <w:t xml:space="preserve">Annual Benchmarking. </w:t>
      </w:r>
      <w:r>
        <w:rPr>
          <w:rFonts w:ascii="Arial" w:cs="Arial" w:eastAsia="Arial" w:hAnsi="Arial"/>
          <w:sz w:val="16"/>
          <w:szCs w:val="16"/>
          <w:color w:val="auto"/>
        </w:rPr>
        <w:t>We review peer and market practice, as well as</w:t>
      </w:r>
      <w:r>
        <w:rPr>
          <w:rFonts w:ascii="Arial" w:cs="Arial" w:eastAsia="Arial" w:hAnsi="Arial"/>
          <w:sz w:val="16"/>
          <w:szCs w:val="16"/>
          <w:b w:val="1"/>
          <w:bCs w:val="1"/>
          <w:color w:val="auto"/>
        </w:rPr>
        <w:t xml:space="preserve"> </w:t>
      </w:r>
      <w:r>
        <w:rPr>
          <w:rFonts w:ascii="Arial" w:cs="Arial" w:eastAsia="Arial" w:hAnsi="Arial"/>
          <w:sz w:val="16"/>
          <w:szCs w:val="16"/>
          <w:color w:val="auto"/>
        </w:rPr>
        <w:t>pay levels, on an annual basis.</w:t>
      </w:r>
    </w:p>
    <w:p>
      <w:pPr>
        <w:spacing w:after="0" w:line="343" w:lineRule="exact"/>
        <w:rPr>
          <w:sz w:val="20"/>
          <w:szCs w:val="20"/>
          <w:color w:val="auto"/>
        </w:rPr>
      </w:pPr>
    </w:p>
    <w:p>
      <w:pPr>
        <w:ind w:left="60" w:right="20"/>
        <w:spacing w:after="0" w:line="257" w:lineRule="auto"/>
        <w:rPr>
          <w:sz w:val="20"/>
          <w:szCs w:val="20"/>
          <w:color w:val="auto"/>
        </w:rPr>
      </w:pPr>
      <w:r>
        <w:rPr>
          <w:rFonts w:ascii="Arial" w:cs="Arial" w:eastAsia="Arial" w:hAnsi="Arial"/>
          <w:sz w:val="16"/>
          <w:szCs w:val="16"/>
          <w:b w:val="1"/>
          <w:bCs w:val="1"/>
          <w:color w:val="auto"/>
        </w:rPr>
        <w:t xml:space="preserve">Shareholder Engagement. </w:t>
      </w:r>
      <w:r>
        <w:rPr>
          <w:rFonts w:ascii="Arial" w:cs="Arial" w:eastAsia="Arial" w:hAnsi="Arial"/>
          <w:sz w:val="16"/>
          <w:szCs w:val="16"/>
          <w:color w:val="auto"/>
        </w:rPr>
        <w:t>We conduct formal outreach with our investors</w:t>
      </w:r>
      <w:r>
        <w:rPr>
          <w:rFonts w:ascii="Arial" w:cs="Arial" w:eastAsia="Arial" w:hAnsi="Arial"/>
          <w:sz w:val="16"/>
          <w:szCs w:val="16"/>
          <w:b w:val="1"/>
          <w:bCs w:val="1"/>
          <w:color w:val="auto"/>
        </w:rPr>
        <w:t xml:space="preserve"> </w:t>
      </w:r>
      <w:r>
        <w:rPr>
          <w:rFonts w:ascii="Arial" w:cs="Arial" w:eastAsia="Arial" w:hAnsi="Arial"/>
          <w:sz w:val="16"/>
          <w:szCs w:val="16"/>
          <w:color w:val="auto"/>
        </w:rPr>
        <w:t>to discuss our compensation programs, human capital, corporate governance matters and other key topics.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497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-374015</wp:posOffset>
            </wp:positionV>
            <wp:extent cx="3497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ind w:left="60"/>
        <w:spacing w:after="0" w:line="254" w:lineRule="auto"/>
        <w:rPr>
          <w:sz w:val="20"/>
          <w:szCs w:val="20"/>
          <w:color w:val="auto"/>
        </w:rPr>
      </w:pPr>
      <w:r>
        <w:rPr>
          <w:rFonts w:ascii="Arial" w:cs="Arial" w:eastAsia="Arial" w:hAnsi="Arial"/>
          <w:sz w:val="16"/>
          <w:szCs w:val="16"/>
          <w:b w:val="1"/>
          <w:bCs w:val="1"/>
          <w:color w:val="auto"/>
        </w:rPr>
        <w:t xml:space="preserve">Strong Governance. </w:t>
      </w:r>
      <w:r>
        <w:rPr>
          <w:rFonts w:ascii="Arial" w:cs="Arial" w:eastAsia="Arial" w:hAnsi="Arial"/>
          <w:sz w:val="16"/>
          <w:szCs w:val="16"/>
          <w:color w:val="auto"/>
        </w:rPr>
        <w:t>We maintain a compensation recoupment (clawback)</w:t>
      </w:r>
      <w:r>
        <w:rPr>
          <w:rFonts w:ascii="Arial" w:cs="Arial" w:eastAsia="Arial" w:hAnsi="Arial"/>
          <w:sz w:val="16"/>
          <w:szCs w:val="16"/>
          <w:b w:val="1"/>
          <w:bCs w:val="1"/>
          <w:color w:val="auto"/>
        </w:rPr>
        <w:t xml:space="preserve"> </w:t>
      </w:r>
      <w:r>
        <w:rPr>
          <w:rFonts w:ascii="Arial" w:cs="Arial" w:eastAsia="Arial" w:hAnsi="Arial"/>
          <w:sz w:val="16"/>
          <w:szCs w:val="16"/>
          <w:color w:val="auto"/>
        </w:rPr>
        <w:t>policy that complies with SEC rules and NYSE listing standards, and our Short-Term Incentive plans include the option for negative (but not upward) discretion by the Compensation Committee regarding award amounts paid.</w:t>
      </w:r>
    </w:p>
    <w:p>
      <w:pPr>
        <w:spacing w:after="0" w:line="168" w:lineRule="exact"/>
        <w:rPr>
          <w:sz w:val="20"/>
          <w:szCs w:val="20"/>
          <w:color w:val="auto"/>
        </w:rPr>
      </w:pPr>
    </w:p>
    <w:p>
      <w:pPr>
        <w:ind w:left="60" w:right="80"/>
        <w:spacing w:after="0" w:line="254" w:lineRule="auto"/>
        <w:rPr>
          <w:sz w:val="20"/>
          <w:szCs w:val="20"/>
          <w:color w:val="auto"/>
        </w:rPr>
      </w:pPr>
      <w:r>
        <w:rPr>
          <w:rFonts w:ascii="Arial" w:cs="Arial" w:eastAsia="Arial" w:hAnsi="Arial"/>
          <w:sz w:val="16"/>
          <w:szCs w:val="16"/>
          <w:b w:val="1"/>
          <w:bCs w:val="1"/>
          <w:color w:val="auto"/>
        </w:rPr>
        <w:t xml:space="preserve">Stock Ownership. </w:t>
      </w:r>
      <w:r>
        <w:rPr>
          <w:rFonts w:ascii="Arial" w:cs="Arial" w:eastAsia="Arial" w:hAnsi="Arial"/>
          <w:sz w:val="16"/>
          <w:szCs w:val="16"/>
          <w:color w:val="auto"/>
        </w:rPr>
        <w:t>We require senior executives, including our NEOs, to</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significant ownership of Hubbell common stock. Our CEO has an ownership requirement of 5 times his base salary, which he currently exceeds.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3497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497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349758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ind w:left="60" w:right="100"/>
        <w:spacing w:after="0" w:line="270" w:lineRule="auto"/>
        <w:rPr>
          <w:sz w:val="20"/>
          <w:szCs w:val="20"/>
          <w:color w:val="auto"/>
        </w:rPr>
      </w:pPr>
      <w:r>
        <w:rPr>
          <w:rFonts w:ascii="Arial" w:cs="Arial" w:eastAsia="Arial" w:hAnsi="Arial"/>
          <w:sz w:val="16"/>
          <w:szCs w:val="16"/>
          <w:b w:val="1"/>
          <w:bCs w:val="1"/>
          <w:color w:val="auto"/>
        </w:rPr>
        <w:t xml:space="preserve">Risk Assessment. </w:t>
      </w:r>
      <w:r>
        <w:rPr>
          <w:rFonts w:ascii="Arial" w:cs="Arial" w:eastAsia="Arial" w:hAnsi="Arial"/>
          <w:sz w:val="16"/>
          <w:szCs w:val="16"/>
          <w:color w:val="auto"/>
        </w:rPr>
        <w:t>We conduct an annual compensation risk assessment</w:t>
      </w:r>
      <w:r>
        <w:rPr>
          <w:rFonts w:ascii="Arial" w:cs="Arial" w:eastAsia="Arial" w:hAnsi="Arial"/>
          <w:sz w:val="16"/>
          <w:szCs w:val="16"/>
          <w:b w:val="1"/>
          <w:bCs w:val="1"/>
          <w:color w:val="auto"/>
        </w:rPr>
        <w:t xml:space="preserve"> </w:t>
      </w:r>
      <w:r>
        <w:rPr>
          <w:rFonts w:ascii="Arial" w:cs="Arial" w:eastAsia="Arial" w:hAnsi="Arial"/>
          <w:sz w:val="16"/>
          <w:szCs w:val="16"/>
          <w:color w:val="auto"/>
        </w:rPr>
        <w:t>to ensure our compensation program discourages excessive risk taking.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467360</wp:posOffset>
            </wp:positionV>
            <wp:extent cx="713232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360"/>
        <w:spacing w:after="0" w:line="254" w:lineRule="auto"/>
        <w:rPr>
          <w:sz w:val="20"/>
          <w:szCs w:val="20"/>
          <w:color w:val="auto"/>
        </w:rPr>
      </w:pPr>
      <w:r>
        <w:rPr>
          <w:rFonts w:ascii="Arial" w:cs="Arial" w:eastAsia="Arial" w:hAnsi="Arial"/>
          <w:sz w:val="16"/>
          <w:szCs w:val="16"/>
          <w:b w:val="1"/>
          <w:bCs w:val="1"/>
          <w:color w:val="auto"/>
        </w:rPr>
        <w:t xml:space="preserve">No Guaranteed Annual Salary Increases or Bonuses. </w:t>
      </w:r>
      <w:r>
        <w:rPr>
          <w:rFonts w:ascii="Arial" w:cs="Arial" w:eastAsia="Arial" w:hAnsi="Arial"/>
          <w:sz w:val="16"/>
          <w:szCs w:val="16"/>
          <w:color w:val="auto"/>
        </w:rPr>
        <w:t>Annual salary</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increases are based on evaluations of individual performance and the competitive market. Bonus payouts, if any, are based on financial and individual performance against specific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-5080</wp:posOffset>
            </wp:positionV>
            <wp:extent cx="34886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right="320"/>
        <w:spacing w:after="0" w:line="252" w:lineRule="auto"/>
        <w:rPr>
          <w:sz w:val="20"/>
          <w:szCs w:val="20"/>
          <w:color w:val="auto"/>
        </w:rPr>
      </w:pPr>
      <w:r>
        <w:rPr>
          <w:rFonts w:ascii="Arial" w:cs="Arial" w:eastAsia="Arial" w:hAnsi="Arial"/>
          <w:sz w:val="16"/>
          <w:szCs w:val="16"/>
          <w:b w:val="1"/>
          <w:bCs w:val="1"/>
          <w:color w:val="auto"/>
        </w:rPr>
        <w:t xml:space="preserve">No Consultant Conflicts. </w:t>
      </w:r>
      <w:r>
        <w:rPr>
          <w:rFonts w:ascii="Arial" w:cs="Arial" w:eastAsia="Arial" w:hAnsi="Arial"/>
          <w:sz w:val="16"/>
          <w:szCs w:val="16"/>
          <w:color w:val="auto"/>
        </w:rPr>
        <w:t>The independent compensation consultant</w:t>
      </w:r>
      <w:r>
        <w:rPr>
          <w:rFonts w:ascii="Arial" w:cs="Arial" w:eastAsia="Arial" w:hAnsi="Arial"/>
          <w:sz w:val="16"/>
          <w:szCs w:val="16"/>
          <w:b w:val="1"/>
          <w:bCs w:val="1"/>
          <w:color w:val="auto"/>
        </w:rPr>
        <w:t xml:space="preserve"> </w:t>
      </w:r>
      <w:r>
        <w:rPr>
          <w:rFonts w:ascii="Arial" w:cs="Arial" w:eastAsia="Arial" w:hAnsi="Arial"/>
          <w:sz w:val="16"/>
          <w:szCs w:val="16"/>
          <w:color w:val="auto"/>
        </w:rPr>
        <w:t>cannot provide any other services to Hubbell without the Compensation Committee’s prior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-6350</wp:posOffset>
            </wp:positionV>
            <wp:extent cx="34886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right="60"/>
        <w:spacing w:after="0" w:line="258" w:lineRule="auto"/>
        <w:rPr>
          <w:sz w:val="20"/>
          <w:szCs w:val="20"/>
          <w:color w:val="auto"/>
        </w:rPr>
      </w:pPr>
      <w:r>
        <w:rPr>
          <w:rFonts w:ascii="Arial" w:cs="Arial" w:eastAsia="Arial" w:hAnsi="Arial"/>
          <w:sz w:val="16"/>
          <w:szCs w:val="16"/>
          <w:b w:val="1"/>
          <w:bCs w:val="1"/>
          <w:color w:val="auto"/>
        </w:rPr>
        <w:t xml:space="preserve">No Hedging or Pledging. </w:t>
      </w:r>
      <w:r>
        <w:rPr>
          <w:rFonts w:ascii="Arial" w:cs="Arial" w:eastAsia="Arial" w:hAnsi="Arial"/>
          <w:sz w:val="16"/>
          <w:szCs w:val="16"/>
          <w:color w:val="auto"/>
        </w:rPr>
        <w:t>We prohibit our executives, including our NEOs,</w:t>
      </w:r>
      <w:r>
        <w:rPr>
          <w:rFonts w:ascii="Arial" w:cs="Arial" w:eastAsia="Arial" w:hAnsi="Arial"/>
          <w:sz w:val="16"/>
          <w:szCs w:val="16"/>
          <w:b w:val="1"/>
          <w:bCs w:val="1"/>
          <w:color w:val="auto"/>
        </w:rPr>
        <w:t xml:space="preserve"> </w:t>
      </w:r>
      <w:r>
        <w:rPr>
          <w:rFonts w:ascii="Arial" w:cs="Arial" w:eastAsia="Arial" w:hAnsi="Arial"/>
          <w:sz w:val="16"/>
          <w:szCs w:val="16"/>
          <w:color w:val="auto"/>
        </w:rPr>
        <w:t>from hedging or engaging in derivatives trading with respect to Hubbell common stock and from pledging Hubbell stock as collateral for a loan.</w:t>
      </w:r>
    </w:p>
    <w:p>
      <w:pPr>
        <w:spacing w:after="0" w:line="164" w:lineRule="exact"/>
        <w:rPr>
          <w:sz w:val="20"/>
          <w:szCs w:val="20"/>
          <w:color w:val="auto"/>
        </w:rPr>
      </w:pPr>
    </w:p>
    <w:p>
      <w:pPr>
        <w:ind w:right="360"/>
        <w:spacing w:after="0" w:line="254" w:lineRule="auto"/>
        <w:rPr>
          <w:sz w:val="20"/>
          <w:szCs w:val="20"/>
          <w:color w:val="auto"/>
        </w:rPr>
      </w:pPr>
      <w:r>
        <w:rPr>
          <w:rFonts w:ascii="Arial" w:cs="Arial" w:eastAsia="Arial" w:hAnsi="Arial"/>
          <w:sz w:val="16"/>
          <w:szCs w:val="16"/>
          <w:b w:val="1"/>
          <w:bCs w:val="1"/>
          <w:color w:val="auto"/>
        </w:rPr>
        <w:t xml:space="preserve">No Excessive Perks. </w:t>
      </w:r>
      <w:r>
        <w:rPr>
          <w:rFonts w:ascii="Arial" w:cs="Arial" w:eastAsia="Arial" w:hAnsi="Arial"/>
          <w:sz w:val="16"/>
          <w:szCs w:val="16"/>
          <w:color w:val="auto"/>
        </w:rPr>
        <w:t>We provide limited perquisites to our NEOs:</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and tax planning reimbursements, limited use of the corporate aircraft, and a charitable matching gift program available to all U.S. employees. Any perquisites are subject to 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-5080</wp:posOffset>
            </wp:positionV>
            <wp:extent cx="34886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-493395</wp:posOffset>
            </wp:positionV>
            <wp:extent cx="348869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jc w:val="both"/>
        <w:ind w:right="520"/>
        <w:spacing w:after="0" w:line="252" w:lineRule="auto"/>
        <w:rPr>
          <w:sz w:val="20"/>
          <w:szCs w:val="20"/>
          <w:color w:val="auto"/>
        </w:rPr>
      </w:pPr>
      <w:r>
        <w:rPr>
          <w:rFonts w:ascii="Arial" w:cs="Arial" w:eastAsia="Arial" w:hAnsi="Arial"/>
          <w:sz w:val="16"/>
          <w:szCs w:val="16"/>
          <w:b w:val="1"/>
          <w:bCs w:val="1"/>
          <w:color w:val="auto"/>
        </w:rPr>
        <w:t>No Tax Gross</w:t>
      </w:r>
      <w:r>
        <w:rPr>
          <w:rFonts w:ascii="Arial" w:cs="Arial" w:eastAsia="Arial" w:hAnsi="Arial"/>
          <w:sz w:val="16"/>
          <w:szCs w:val="16"/>
          <w:color w:val="auto"/>
        </w:rPr>
        <w:t>-</w:t>
      </w:r>
      <w:r>
        <w:rPr>
          <w:rFonts w:ascii="Arial" w:cs="Arial" w:eastAsia="Arial" w:hAnsi="Arial"/>
          <w:sz w:val="16"/>
          <w:szCs w:val="16"/>
          <w:b w:val="1"/>
          <w:bCs w:val="1"/>
          <w:color w:val="auto"/>
        </w:rPr>
        <w:t xml:space="preserve">Ups. </w:t>
      </w:r>
      <w:r>
        <w:rPr>
          <w:rFonts w:ascii="Arial" w:cs="Arial" w:eastAsia="Arial" w:hAnsi="Arial"/>
          <w:sz w:val="16"/>
          <w:szCs w:val="16"/>
          <w:color w:val="auto"/>
        </w:rPr>
        <w:t>We do not provide tax gross-ups for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excise tax, or other benefits provided to our executives (including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-6350</wp:posOffset>
            </wp:positionV>
            <wp:extent cx="34886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right="420"/>
        <w:spacing w:after="0" w:line="250" w:lineRule="auto"/>
        <w:rPr>
          <w:sz w:val="20"/>
          <w:szCs w:val="20"/>
          <w:color w:val="auto"/>
        </w:rPr>
      </w:pPr>
      <w:r>
        <w:rPr>
          <w:rFonts w:ascii="Arial" w:cs="Arial" w:eastAsia="Arial" w:hAnsi="Arial"/>
          <w:sz w:val="16"/>
          <w:szCs w:val="16"/>
          <w:b w:val="1"/>
          <w:bCs w:val="1"/>
          <w:color w:val="auto"/>
        </w:rPr>
        <w:t xml:space="preserve">No Excessive Supplemental Retirement Plans. </w:t>
      </w:r>
      <w:r>
        <w:rPr>
          <w:rFonts w:ascii="Arial" w:cs="Arial" w:eastAsia="Arial" w:hAnsi="Arial"/>
          <w:sz w:val="16"/>
          <w:szCs w:val="16"/>
          <w:color w:val="auto"/>
        </w:rPr>
        <w:t>We froze our</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supplemental executive retirement plan and only provide new benefits under qualified retirement plans that are made available generally to employees and under non-qualified defined contribution plans that are made available to certain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-6350</wp:posOffset>
            </wp:positionV>
            <wp:extent cx="348869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ind w:right="340"/>
        <w:spacing w:after="0" w:line="270" w:lineRule="auto"/>
        <w:rPr>
          <w:sz w:val="20"/>
          <w:szCs w:val="20"/>
          <w:color w:val="auto"/>
        </w:rPr>
      </w:pPr>
      <w:r>
        <w:rPr>
          <w:rFonts w:ascii="Arial" w:cs="Arial" w:eastAsia="Arial" w:hAnsi="Arial"/>
          <w:sz w:val="16"/>
          <w:szCs w:val="16"/>
          <w:b w:val="1"/>
          <w:bCs w:val="1"/>
          <w:color w:val="auto"/>
        </w:rPr>
        <w:t xml:space="preserve">No Repricing or Cash Buyouts. </w:t>
      </w:r>
      <w:r>
        <w:rPr>
          <w:rFonts w:ascii="Arial" w:cs="Arial" w:eastAsia="Arial" w:hAnsi="Arial"/>
          <w:sz w:val="16"/>
          <w:szCs w:val="16"/>
          <w:color w:val="auto"/>
        </w:rPr>
        <w:t>We prohibit the repricing or buyout of</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and SARs without shareholder approval.</w:t>
      </w:r>
    </w:p>
    <w:p>
      <w:pPr>
        <w:spacing w:after="0" w:line="343" w:lineRule="exact"/>
        <w:rPr>
          <w:sz w:val="20"/>
          <w:szCs w:val="20"/>
          <w:color w:val="auto"/>
        </w:rPr>
      </w:pPr>
    </w:p>
    <w:p>
      <w:pPr>
        <w:ind w:right="360"/>
        <w:spacing w:after="0" w:line="257" w:lineRule="auto"/>
        <w:rPr>
          <w:sz w:val="20"/>
          <w:szCs w:val="20"/>
          <w:color w:val="auto"/>
        </w:rPr>
      </w:pPr>
      <w:r>
        <w:rPr>
          <w:rFonts w:ascii="Arial" w:cs="Arial" w:eastAsia="Arial" w:hAnsi="Arial"/>
          <w:sz w:val="16"/>
          <w:szCs w:val="16"/>
          <w:b w:val="1"/>
          <w:bCs w:val="1"/>
          <w:color w:val="auto"/>
        </w:rPr>
        <w:t xml:space="preserve">No Employment Agreement with CEO or NEOs. </w:t>
      </w:r>
      <w:r>
        <w:rPr>
          <w:rFonts w:ascii="Arial" w:cs="Arial" w:eastAsia="Arial" w:hAnsi="Arial"/>
          <w:sz w:val="16"/>
          <w:szCs w:val="16"/>
          <w:color w:val="auto"/>
        </w:rPr>
        <w:t>We do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agreements with any of our NEOs, including our CEO, Mr. Bakker, and our new CFO, Mr. Capozzoli.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wp:posOffset>
            </wp:positionV>
            <wp:extent cx="34886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-34290</wp:posOffset>
            </wp:positionH>
            <wp:positionV relativeFrom="paragraph">
              <wp:posOffset>-374015</wp:posOffset>
            </wp:positionV>
            <wp:extent cx="348869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right="360"/>
        <w:spacing w:after="0" w:line="258" w:lineRule="auto"/>
        <w:rPr>
          <w:sz w:val="20"/>
          <w:szCs w:val="20"/>
          <w:color w:val="auto"/>
        </w:rPr>
      </w:pPr>
      <w:r>
        <w:rPr>
          <w:rFonts w:ascii="Arial" w:cs="Arial" w:eastAsia="Arial" w:hAnsi="Arial"/>
          <w:sz w:val="16"/>
          <w:szCs w:val="16"/>
          <w:b w:val="1"/>
          <w:bCs w:val="1"/>
          <w:color w:val="auto"/>
        </w:rPr>
        <w:t xml:space="preserve">No Single Trigger on Change in Control Benefits. </w:t>
      </w:r>
      <w:r>
        <w:rPr>
          <w:rFonts w:ascii="Arial" w:cs="Arial" w:eastAsia="Arial" w:hAnsi="Arial"/>
          <w:sz w:val="16"/>
          <w:szCs w:val="16"/>
          <w:color w:val="auto"/>
        </w:rPr>
        <w:t>Change in control</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are provided only if there is both a change in control and a qualifying termination.</w:t>
      </w:r>
    </w:p>
    <w:p>
      <w:pPr>
        <w:spacing w:after="0" w:line="164" w:lineRule="exact"/>
        <w:rPr>
          <w:sz w:val="20"/>
          <w:szCs w:val="20"/>
          <w:color w:val="auto"/>
        </w:rPr>
      </w:pPr>
    </w:p>
    <w:p>
      <w:pPr>
        <w:sectPr>
          <w:pgSz w:w="11900" w:h="16838" w:orient="portrait"/>
          <w:cols w:equalWidth="0" w:num="2">
            <w:col w:w="5460" w:space="340"/>
            <w:col w:w="5440"/>
          </w:cols>
          <w:pgMar w:left="320" w:top="238" w:right="339" w:bottom="1440" w:gutter="0" w:footer="0" w:header="0"/>
          <w:type w:val="continuous"/>
        </w:sectPr>
      </w:pPr>
    </w:p>
    <w:p>
      <w:pPr>
        <w:ind w:left="8780"/>
        <w:spacing w:after="0"/>
        <w:tabs>
          <w:tab w:leader="none" w:pos="110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Elements of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511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8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The majority of the NEOs’ pay is at risk, subject to Hubbell’s performance.</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The below chart represents the compensation mix for all of our NEOs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132080</wp:posOffset>
            </wp:positionV>
            <wp:extent cx="6858000" cy="15170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00" cy="1517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Our pay for performance compensation philosophy is intended to reward our executives for their contributions toward achieving Hubbell’s goals and implementing our business strategy. In addition, compensation packages for our executives consist of fixed and variable elements that deliver competitive compensation that enhances the Company’s ability to attract and retain high quality management talent. Our compensation objectives and business strategy drive how our Compensation Committee designs the elements of our compensation program, as outlined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30861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394" w:lineRule="exact"/>
        <w:rPr>
          <w:sz w:val="20"/>
          <w:szCs w:val="20"/>
          <w:color w:val="auto"/>
        </w:rPr>
      </w:pPr>
    </w:p>
    <w:p>
      <w:pPr>
        <w:ind w:left="60"/>
        <w:spacing w:after="0"/>
        <w:tabs>
          <w:tab w:leader="none" w:pos="2480" w:val="left"/>
          <w:tab w:leader="none" w:pos="3840" w:val="left"/>
          <w:tab w:leader="none" w:pos="5380" w:val="left"/>
        </w:tabs>
        <w:rPr>
          <w:sz w:val="20"/>
          <w:szCs w:val="20"/>
          <w:color w:val="auto"/>
        </w:rPr>
      </w:pPr>
      <w:r>
        <w:rPr>
          <w:rFonts w:ascii="Arial" w:cs="Arial" w:eastAsia="Arial" w:hAnsi="Arial"/>
          <w:sz w:val="16"/>
          <w:szCs w:val="16"/>
          <w:b w:val="1"/>
          <w:bCs w:val="1"/>
          <w:color w:val="auto"/>
        </w:rPr>
        <w:t>2025 Compensation</w:t>
      </w:r>
      <w:r>
        <w:rPr>
          <w:sz w:val="20"/>
          <w:szCs w:val="20"/>
          <w:color w:val="auto"/>
        </w:rPr>
        <w:tab/>
      </w:r>
      <w:r>
        <w:rPr>
          <w:rFonts w:ascii="Arial" w:cs="Arial" w:eastAsia="Arial" w:hAnsi="Arial"/>
          <w:sz w:val="16"/>
          <w:szCs w:val="16"/>
          <w:b w:val="1"/>
          <w:bCs w:val="1"/>
          <w:color w:val="auto"/>
        </w:rPr>
        <w:t>What?</w:t>
      </w:r>
      <w:r>
        <w:rPr>
          <w:sz w:val="20"/>
          <w:szCs w:val="20"/>
          <w:color w:val="auto"/>
        </w:rPr>
        <w:tab/>
      </w:r>
      <w:r>
        <w:rPr>
          <w:rFonts w:ascii="Arial" w:cs="Arial" w:eastAsia="Arial" w:hAnsi="Arial"/>
          <w:sz w:val="16"/>
          <w:szCs w:val="16"/>
          <w:b w:val="1"/>
          <w:bCs w:val="1"/>
          <w:color w:val="auto"/>
        </w:rPr>
        <w:t>When?</w:t>
      </w:r>
      <w:r>
        <w:rPr>
          <w:sz w:val="20"/>
          <w:szCs w:val="20"/>
          <w:color w:val="auto"/>
        </w:rPr>
        <w:tab/>
      </w:r>
      <w:r>
        <w:rPr>
          <w:rFonts w:ascii="Arial" w:cs="Arial" w:eastAsia="Arial" w:hAnsi="Arial"/>
          <w:sz w:val="16"/>
          <w:szCs w:val="16"/>
          <w:b w:val="1"/>
          <w:bCs w:val="1"/>
          <w:color w:val="auto"/>
        </w:rPr>
        <w:t>How?</w:t>
      </w:r>
    </w:p>
    <w:p>
      <w:pPr>
        <w:spacing w:after="0" w:line="59" w:lineRule="exact"/>
        <w:rPr>
          <w:sz w:val="20"/>
          <w:szCs w:val="20"/>
          <w:color w:val="auto"/>
        </w:rPr>
      </w:pPr>
    </w:p>
    <w:p>
      <w:pPr>
        <w:ind w:left="60"/>
        <w:spacing w:after="0"/>
        <w:tabs>
          <w:tab w:leader="none" w:pos="2480" w:val="left"/>
          <w:tab w:leader="none" w:pos="3840" w:val="left"/>
          <w:tab w:leader="none" w:pos="5380" w:val="left"/>
        </w:tabs>
        <w:rPr>
          <w:sz w:val="20"/>
          <w:szCs w:val="20"/>
          <w:color w:val="auto"/>
        </w:rPr>
      </w:pPr>
      <w:r>
        <w:rPr>
          <w:rFonts w:ascii="Arial" w:cs="Arial" w:eastAsia="Arial" w:hAnsi="Arial"/>
          <w:sz w:val="16"/>
          <w:szCs w:val="16"/>
          <w:b w:val="1"/>
          <w:bCs w:val="1"/>
          <w:color w:val="auto"/>
        </w:rPr>
        <w:t>Base Salary</w:t>
      </w:r>
      <w:r>
        <w:rPr>
          <w:sz w:val="20"/>
          <w:szCs w:val="20"/>
          <w:color w:val="auto"/>
        </w:rPr>
        <w:tab/>
      </w:r>
      <w:r>
        <w:rPr>
          <w:rFonts w:ascii="Arial" w:cs="Arial" w:eastAsia="Arial" w:hAnsi="Arial"/>
          <w:sz w:val="16"/>
          <w:szCs w:val="16"/>
          <w:color w:val="auto"/>
        </w:rPr>
        <w:t>Fixed Cash</w:t>
      </w:r>
      <w:r>
        <w:rPr>
          <w:sz w:val="20"/>
          <w:szCs w:val="20"/>
          <w:color w:val="auto"/>
        </w:rPr>
        <w:tab/>
      </w:r>
      <w:r>
        <w:rPr>
          <w:rFonts w:ascii="Arial" w:cs="Arial" w:eastAsia="Arial" w:hAnsi="Arial"/>
          <w:sz w:val="16"/>
          <w:szCs w:val="16"/>
          <w:color w:val="auto"/>
        </w:rPr>
        <w:t>Annual</w:t>
      </w:r>
      <w:r>
        <w:rPr>
          <w:sz w:val="20"/>
          <w:szCs w:val="20"/>
          <w:color w:val="auto"/>
        </w:rPr>
        <w:tab/>
      </w:r>
      <w:r>
        <w:rPr>
          <w:rFonts w:ascii="Arial" w:cs="Arial" w:eastAsia="Arial" w:hAnsi="Arial"/>
          <w:sz w:val="16"/>
          <w:szCs w:val="16"/>
          <w:color w:val="auto"/>
        </w:rPr>
        <w:t>Reviewed annually for potential</w:t>
      </w:r>
    </w:p>
    <w:p>
      <w:pPr>
        <w:spacing w:after="0" w:line="21"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adjustment based on factors such as</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market competitiveness, individual</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performance, and scope of</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Link to Strategy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w:t>
      </w:r>
    </w:p>
    <w:p>
      <w:pPr>
        <w:spacing w:after="0" w:line="43" w:lineRule="exact"/>
        <w:rPr>
          <w:sz w:val="20"/>
          <w:szCs w:val="20"/>
          <w:color w:val="auto"/>
        </w:rPr>
      </w:pPr>
    </w:p>
    <w:p>
      <w:pPr>
        <w:jc w:val="both"/>
        <w:ind w:right="100"/>
        <w:spacing w:after="0" w:line="266" w:lineRule="auto"/>
        <w:rPr>
          <w:sz w:val="20"/>
          <w:szCs w:val="20"/>
          <w:color w:val="auto"/>
        </w:rPr>
      </w:pPr>
      <w:r>
        <w:rPr>
          <w:rFonts w:ascii="Arial" w:cs="Arial" w:eastAsia="Arial" w:hAnsi="Arial"/>
          <w:sz w:val="16"/>
          <w:szCs w:val="16"/>
          <w:color w:val="auto"/>
        </w:rPr>
        <w:t>Competitive fixed cash compensation that attracts high caliber executives to lead our Company.</w:t>
      </w:r>
    </w:p>
    <w:p>
      <w:pPr>
        <w:spacing w:after="0" w:line="359" w:lineRule="exact"/>
        <w:rPr>
          <w:sz w:val="20"/>
          <w:szCs w:val="20"/>
          <w:color w:val="auto"/>
        </w:rPr>
      </w:pPr>
    </w:p>
    <w:p>
      <w:pPr>
        <w:sectPr>
          <w:pgSz w:w="11900" w:h="16838" w:orient="portrait"/>
          <w:cols w:equalWidth="0" w:num="2">
            <w:col w:w="8040" w:space="400"/>
            <w:col w:w="2800"/>
          </w:cols>
          <w:pgMar w:left="320" w:top="238" w:right="339" w:bottom="1440" w:gutter="0" w:footer="0" w:header="0"/>
          <w:type w:val="continuous"/>
        </w:sectPr>
      </w:pPr>
    </w:p>
    <w:p>
      <w:pPr>
        <w:ind w:left="60"/>
        <w:spacing w:after="0"/>
        <w:tabs>
          <w:tab w:leader="none" w:pos="2480" w:val="left"/>
          <w:tab w:leader="none" w:pos="3840" w:val="left"/>
          <w:tab w:leader="none" w:pos="5380" w:val="left"/>
        </w:tabs>
        <w:rPr>
          <w:sz w:val="20"/>
          <w:szCs w:val="20"/>
          <w:color w:val="auto"/>
        </w:rPr>
      </w:pPr>
      <w:r>
        <w:rPr>
          <w:rFonts w:ascii="Arial" w:cs="Arial" w:eastAsia="Arial" w:hAnsi="Arial"/>
          <w:sz w:val="16"/>
          <w:szCs w:val="16"/>
          <w:b w:val="1"/>
          <w:bCs w:val="1"/>
          <w:color w:val="auto"/>
        </w:rPr>
        <w:t>Short</w:t>
      </w:r>
      <w:r>
        <w:rPr>
          <w:rFonts w:ascii="Arial" w:cs="Arial" w:eastAsia="Arial" w:hAnsi="Arial"/>
          <w:sz w:val="16"/>
          <w:szCs w:val="16"/>
          <w:color w:val="auto"/>
        </w:rPr>
        <w:t>-</w:t>
      </w:r>
      <w:r>
        <w:rPr>
          <w:rFonts w:ascii="Arial" w:cs="Arial" w:eastAsia="Arial" w:hAnsi="Arial"/>
          <w:sz w:val="16"/>
          <w:szCs w:val="16"/>
          <w:b w:val="1"/>
          <w:bCs w:val="1"/>
          <w:color w:val="auto"/>
        </w:rPr>
        <w:t>Term Incentive</w:t>
      </w:r>
      <w:r>
        <w:rPr>
          <w:sz w:val="20"/>
          <w:szCs w:val="20"/>
          <w:color w:val="auto"/>
        </w:rPr>
        <w:tab/>
      </w:r>
      <w:r>
        <w:rPr>
          <w:rFonts w:ascii="Arial" w:cs="Arial" w:eastAsia="Arial" w:hAnsi="Arial"/>
          <w:sz w:val="16"/>
          <w:szCs w:val="16"/>
          <w:color w:val="auto"/>
        </w:rPr>
        <w:t>Variable Cash</w:t>
      </w:r>
      <w:r>
        <w:rPr>
          <w:sz w:val="20"/>
          <w:szCs w:val="20"/>
          <w:color w:val="auto"/>
        </w:rPr>
        <w:tab/>
      </w:r>
      <w:r>
        <w:rPr>
          <w:rFonts w:ascii="Arial" w:cs="Arial" w:eastAsia="Arial" w:hAnsi="Arial"/>
          <w:sz w:val="16"/>
          <w:szCs w:val="16"/>
          <w:color w:val="auto"/>
        </w:rPr>
        <w:t>Annual</w:t>
      </w:r>
      <w:r>
        <w:rPr>
          <w:sz w:val="20"/>
          <w:szCs w:val="20"/>
          <w:color w:val="auto"/>
        </w:rPr>
        <w:tab/>
      </w:r>
      <w:r>
        <w:rPr>
          <w:rFonts w:ascii="Arial" w:cs="Arial" w:eastAsia="Arial" w:hAnsi="Arial"/>
          <w:sz w:val="16"/>
          <w:szCs w:val="16"/>
          <w:color w:val="auto"/>
        </w:rPr>
        <w:t>Based on performance against</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Company financial goals, and where</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applicable, business segment financial</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objectives as well as individual</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performance against the Company’s</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strategic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Arial" w:cs="Arial" w:eastAsia="Arial" w:hAnsi="Arial"/>
          <w:sz w:val="16"/>
          <w:szCs w:val="16"/>
          <w:color w:val="auto"/>
        </w:rPr>
        <w:t>Designed to motivate our executives to attain short-term performance goals that are linked to our long-term financial and strategic performance objectives.</w:t>
      </w:r>
    </w:p>
    <w:p>
      <w:pPr>
        <w:spacing w:after="0" w:line="174" w:lineRule="exact"/>
        <w:rPr>
          <w:sz w:val="20"/>
          <w:szCs w:val="20"/>
          <w:color w:val="auto"/>
        </w:rPr>
      </w:pPr>
    </w:p>
    <w:p>
      <w:pPr>
        <w:sectPr>
          <w:pgSz w:w="11900" w:h="16838" w:orient="portrait"/>
          <w:cols w:equalWidth="0" w:num="2">
            <w:col w:w="8180" w:space="260"/>
            <w:col w:w="2800"/>
          </w:cols>
          <w:pgMar w:left="320" w:top="238" w:right="339" w:bottom="1440" w:gutter="0" w:footer="0" w:header="0"/>
          <w:type w:val="continuous"/>
        </w:sectPr>
      </w:pPr>
    </w:p>
    <w:tbl>
      <w:tblPr>
        <w:tblLayout w:type="fixed"/>
        <w:tblInd w:w="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rPr>
              <w:t>Long</w:t>
            </w:r>
            <w:r>
              <w:rPr>
                <w:rFonts w:ascii="Arial" w:cs="Arial" w:eastAsia="Arial" w:hAnsi="Arial"/>
                <w:sz w:val="16"/>
                <w:szCs w:val="16"/>
                <w:color w:val="auto"/>
              </w:rPr>
              <w:t>-</w:t>
            </w:r>
            <w:r>
              <w:rPr>
                <w:rFonts w:ascii="Arial" w:cs="Arial" w:eastAsia="Arial" w:hAnsi="Arial"/>
                <w:sz w:val="16"/>
                <w:szCs w:val="16"/>
                <w:b w:val="1"/>
                <w:bCs w:val="1"/>
                <w:color w:val="auto"/>
              </w:rPr>
              <w:t>Term Incentive:</w:t>
            </w:r>
          </w:p>
        </w:tc>
        <w:tc>
          <w:tcPr>
            <w:tcW w:w="1520" w:type="dxa"/>
            <w:vAlign w:val="bottom"/>
          </w:tcPr>
          <w:p>
            <w:pPr>
              <w:ind w:left="300"/>
              <w:spacing w:after="0"/>
              <w:rPr>
                <w:sz w:val="20"/>
                <w:szCs w:val="20"/>
                <w:color w:val="auto"/>
              </w:rPr>
            </w:pPr>
            <w:r>
              <w:rPr>
                <w:rFonts w:ascii="Arial" w:cs="Arial" w:eastAsia="Arial" w:hAnsi="Arial"/>
                <w:sz w:val="16"/>
                <w:szCs w:val="16"/>
                <w:color w:val="auto"/>
              </w:rPr>
              <w:t>Variable Equity</w:t>
            </w:r>
          </w:p>
        </w:tc>
        <w:tc>
          <w:tcPr>
            <w:tcW w:w="1360" w:type="dxa"/>
            <w:vAlign w:val="bottom"/>
          </w:tcPr>
          <w:p>
            <w:pPr>
              <w:ind w:left="140"/>
              <w:spacing w:after="0"/>
              <w:rPr>
                <w:sz w:val="20"/>
                <w:szCs w:val="20"/>
                <w:color w:val="auto"/>
              </w:rPr>
            </w:pPr>
            <w:r>
              <w:rPr>
                <w:rFonts w:ascii="Arial" w:cs="Arial" w:eastAsia="Arial" w:hAnsi="Arial"/>
                <w:sz w:val="16"/>
                <w:szCs w:val="16"/>
                <w:color w:val="auto"/>
              </w:rPr>
              <w:t>3-year</w:t>
            </w:r>
          </w:p>
        </w:tc>
        <w:tc>
          <w:tcPr>
            <w:tcW w:w="2940" w:type="dxa"/>
            <w:vAlign w:val="bottom"/>
          </w:tcPr>
          <w:p>
            <w:pPr>
              <w:ind w:left="320"/>
              <w:spacing w:after="0"/>
              <w:rPr>
                <w:sz w:val="20"/>
                <w:szCs w:val="20"/>
                <w:color w:val="auto"/>
              </w:rPr>
            </w:pPr>
            <w:r>
              <w:rPr>
                <w:rFonts w:ascii="Arial" w:cs="Arial" w:eastAsia="Arial" w:hAnsi="Arial"/>
                <w:sz w:val="16"/>
                <w:szCs w:val="16"/>
                <w:color w:val="auto"/>
              </w:rPr>
              <w:t>Provides a balance between internal</w:t>
            </w:r>
          </w:p>
        </w:tc>
      </w:tr>
      <w:tr>
        <w:trPr>
          <w:trHeight w:val="189"/>
        </w:trPr>
        <w:tc>
          <w:tcPr>
            <w:tcW w:w="2140" w:type="dxa"/>
            <w:vAlign w:val="bottom"/>
          </w:tcPr>
          <w:p>
            <w:pPr>
              <w:spacing w:after="0"/>
              <w:rPr>
                <w:sz w:val="20"/>
                <w:szCs w:val="20"/>
                <w:color w:val="auto"/>
              </w:rPr>
            </w:pPr>
            <w:r>
              <w:rPr>
                <w:rFonts w:ascii="Arial" w:cs="Arial" w:eastAsia="Arial" w:hAnsi="Arial"/>
                <w:sz w:val="16"/>
                <w:szCs w:val="16"/>
                <w:color w:val="auto"/>
              </w:rPr>
              <w:t>50% Performance Shares</w:t>
            </w:r>
          </w:p>
        </w:tc>
        <w:tc>
          <w:tcPr>
            <w:tcW w:w="1520" w:type="dxa"/>
            <w:vAlign w:val="bottom"/>
          </w:tcPr>
          <w:p>
            <w:pPr>
              <w:spacing w:after="0"/>
              <w:rPr>
                <w:sz w:val="16"/>
                <w:szCs w:val="16"/>
                <w:color w:val="auto"/>
              </w:rPr>
            </w:pPr>
          </w:p>
        </w:tc>
        <w:tc>
          <w:tcPr>
            <w:tcW w:w="1360" w:type="dxa"/>
            <w:vAlign w:val="bottom"/>
          </w:tcPr>
          <w:p>
            <w:pPr>
              <w:ind w:left="140"/>
              <w:spacing w:after="0"/>
              <w:rPr>
                <w:sz w:val="20"/>
                <w:szCs w:val="20"/>
                <w:color w:val="auto"/>
              </w:rPr>
            </w:pPr>
            <w:r>
              <w:rPr>
                <w:rFonts w:ascii="Arial" w:cs="Arial" w:eastAsia="Arial" w:hAnsi="Arial"/>
                <w:sz w:val="16"/>
                <w:szCs w:val="16"/>
                <w:color w:val="auto"/>
              </w:rPr>
              <w:t>performance</w:t>
            </w:r>
          </w:p>
        </w:tc>
        <w:tc>
          <w:tcPr>
            <w:tcW w:w="2940" w:type="dxa"/>
            <w:vAlign w:val="bottom"/>
          </w:tcPr>
          <w:p>
            <w:pPr>
              <w:ind w:left="320"/>
              <w:spacing w:after="0"/>
              <w:rPr>
                <w:sz w:val="20"/>
                <w:szCs w:val="20"/>
                <w:color w:val="auto"/>
              </w:rPr>
            </w:pPr>
            <w:r>
              <w:rPr>
                <w:rFonts w:ascii="Arial" w:cs="Arial" w:eastAsia="Arial" w:hAnsi="Arial"/>
                <w:sz w:val="16"/>
                <w:szCs w:val="16"/>
                <w:color w:val="auto"/>
              </w:rPr>
              <w:t>and external performance.</w:t>
            </w:r>
          </w:p>
        </w:tc>
      </w:tr>
      <w:tr>
        <w:trPr>
          <w:trHeight w:val="189"/>
        </w:trPr>
        <w:tc>
          <w:tcPr>
            <w:tcW w:w="2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ind w:left="140"/>
              <w:spacing w:after="0"/>
              <w:rPr>
                <w:sz w:val="20"/>
                <w:szCs w:val="20"/>
                <w:color w:val="auto"/>
              </w:rPr>
            </w:pPr>
            <w:r>
              <w:rPr>
                <w:rFonts w:ascii="Arial" w:cs="Arial" w:eastAsia="Arial" w:hAnsi="Arial"/>
                <w:sz w:val="16"/>
                <w:szCs w:val="16"/>
                <w:color w:val="auto"/>
              </w:rPr>
              <w:t>period</w:t>
            </w:r>
          </w:p>
        </w:tc>
        <w:tc>
          <w:tcPr>
            <w:tcW w:w="2940" w:type="dxa"/>
            <w:vAlign w:val="bottom"/>
          </w:tcPr>
          <w:p>
            <w:pPr>
              <w:ind w:left="320"/>
              <w:spacing w:after="0"/>
              <w:rPr>
                <w:sz w:val="20"/>
                <w:szCs w:val="20"/>
                <w:color w:val="auto"/>
              </w:rPr>
            </w:pPr>
            <w:r>
              <w:rPr>
                <w:rFonts w:ascii="Arial" w:cs="Arial" w:eastAsia="Arial" w:hAnsi="Arial"/>
                <w:sz w:val="16"/>
                <w:szCs w:val="16"/>
                <w:color w:val="auto"/>
              </w:rPr>
              <w:t>Performance metrics: relative sales</w:t>
            </w:r>
          </w:p>
        </w:tc>
      </w:tr>
      <w:tr>
        <w:trPr>
          <w:trHeight w:val="189"/>
        </w:trPr>
        <w:tc>
          <w:tcPr>
            <w:tcW w:w="2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40" w:type="dxa"/>
            <w:vAlign w:val="bottom"/>
          </w:tcPr>
          <w:p>
            <w:pPr>
              <w:ind w:left="320"/>
              <w:spacing w:after="0"/>
              <w:rPr>
                <w:sz w:val="20"/>
                <w:szCs w:val="20"/>
                <w:color w:val="auto"/>
              </w:rPr>
            </w:pPr>
            <w:r>
              <w:rPr>
                <w:rFonts w:ascii="Arial" w:cs="Arial" w:eastAsia="Arial" w:hAnsi="Arial"/>
                <w:sz w:val="16"/>
                <w:szCs w:val="16"/>
                <w:color w:val="auto"/>
              </w:rPr>
              <w:t>growth, adjusted operating profit</w:t>
            </w:r>
          </w:p>
        </w:tc>
      </w:tr>
      <w:tr>
        <w:trPr>
          <w:trHeight w:val="189"/>
        </w:trPr>
        <w:tc>
          <w:tcPr>
            <w:tcW w:w="2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40" w:type="dxa"/>
            <w:vAlign w:val="bottom"/>
          </w:tcPr>
          <w:p>
            <w:pPr>
              <w:ind w:left="320"/>
              <w:spacing w:after="0"/>
              <w:rPr>
                <w:sz w:val="20"/>
                <w:szCs w:val="20"/>
                <w:color w:val="auto"/>
              </w:rPr>
            </w:pPr>
            <w:r>
              <w:rPr>
                <w:rFonts w:ascii="Arial" w:cs="Arial" w:eastAsia="Arial" w:hAnsi="Arial"/>
                <w:sz w:val="16"/>
                <w:szCs w:val="16"/>
                <w:color w:val="auto"/>
              </w:rPr>
              <w:t>margin, and relative total</w:t>
            </w:r>
          </w:p>
        </w:tc>
      </w:tr>
      <w:tr>
        <w:trPr>
          <w:trHeight w:val="203"/>
        </w:trPr>
        <w:tc>
          <w:tcPr>
            <w:tcW w:w="21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940" w:type="dxa"/>
            <w:vAlign w:val="bottom"/>
          </w:tcPr>
          <w:p>
            <w:pPr>
              <w:ind w:left="320"/>
              <w:spacing w:after="0"/>
              <w:rPr>
                <w:sz w:val="20"/>
                <w:szCs w:val="20"/>
                <w:color w:val="auto"/>
              </w:rPr>
            </w:pPr>
            <w:r>
              <w:rPr>
                <w:rFonts w:ascii="Arial" w:cs="Arial" w:eastAsia="Arial" w:hAnsi="Arial"/>
                <w:sz w:val="16"/>
                <w:szCs w:val="16"/>
                <w:color w:val="auto"/>
              </w:rPr>
              <w:t>shareholder return.</w:t>
            </w:r>
          </w:p>
        </w:tc>
      </w:tr>
    </w:tbl>
    <w:p>
      <w:pPr>
        <w:spacing w:after="0" w:line="20" w:lineRule="exact"/>
        <w:rPr>
          <w:sz w:val="20"/>
          <w:szCs w:val="20"/>
          <w:color w:val="auto"/>
        </w:rPr>
      </w:pPr>
      <w:r>
        <w:rPr>
          <w:sz w:val="20"/>
          <w:szCs w:val="20"/>
          <w:color w:val="auto"/>
        </w:rPr>
        <w:br w:type="column"/>
      </w:r>
    </w:p>
    <w:p>
      <w:pPr>
        <w:ind w:right="120"/>
        <w:spacing w:after="0" w:line="252" w:lineRule="auto"/>
        <w:rPr>
          <w:sz w:val="20"/>
          <w:szCs w:val="20"/>
          <w:color w:val="auto"/>
        </w:rPr>
      </w:pPr>
      <w:r>
        <w:rPr>
          <w:rFonts w:ascii="Arial" w:cs="Arial" w:eastAsia="Arial" w:hAnsi="Arial"/>
          <w:sz w:val="16"/>
          <w:szCs w:val="16"/>
          <w:color w:val="auto"/>
        </w:rPr>
        <w:t>Motivates executives to achieve the Company’s critical long-term financial goals and outperform our peers, and aligns executives’ and shareholders’ interests in share price appreciation.</w:t>
      </w:r>
    </w:p>
    <w:p>
      <w:pPr>
        <w:spacing w:after="0" w:line="171" w:lineRule="exact"/>
        <w:rPr>
          <w:sz w:val="20"/>
          <w:szCs w:val="20"/>
          <w:color w:val="auto"/>
        </w:rPr>
      </w:pPr>
    </w:p>
    <w:p>
      <w:pPr>
        <w:sectPr>
          <w:pgSz w:w="11900" w:h="16838" w:orient="portrait"/>
          <w:cols w:equalWidth="0" w:num="2">
            <w:col w:w="8020" w:space="420"/>
            <w:col w:w="2800"/>
          </w:cols>
          <w:pgMar w:left="320" w:top="238"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140" w:type="dxa"/>
            <w:vAlign w:val="bottom"/>
            <w:tcBorders>
              <w:top w:val="single" w:sz="8" w:color="BCBEC0"/>
            </w:tcBorders>
          </w:tcPr>
          <w:p>
            <w:pPr>
              <w:ind w:left="60"/>
              <w:spacing w:after="0" w:line="168" w:lineRule="exact"/>
              <w:rPr>
                <w:sz w:val="20"/>
                <w:szCs w:val="20"/>
                <w:color w:val="auto"/>
              </w:rPr>
            </w:pPr>
            <w:r>
              <w:rPr>
                <w:rFonts w:ascii="Arial" w:cs="Arial" w:eastAsia="Arial" w:hAnsi="Arial"/>
                <w:sz w:val="16"/>
                <w:szCs w:val="16"/>
                <w:color w:val="auto"/>
              </w:rPr>
              <w:t>25% Stock Appreciation</w:t>
            </w:r>
          </w:p>
        </w:tc>
        <w:tc>
          <w:tcPr>
            <w:tcW w:w="1580" w:type="dxa"/>
            <w:vAlign w:val="bottom"/>
            <w:tcBorders>
              <w:top w:val="single" w:sz="8" w:color="BCBEC0"/>
            </w:tcBorders>
          </w:tcPr>
          <w:p>
            <w:pPr>
              <w:ind w:left="360"/>
              <w:spacing w:after="0" w:line="168" w:lineRule="exact"/>
              <w:rPr>
                <w:sz w:val="20"/>
                <w:szCs w:val="20"/>
                <w:color w:val="auto"/>
              </w:rPr>
            </w:pPr>
            <w:r>
              <w:rPr>
                <w:rFonts w:ascii="Arial" w:cs="Arial" w:eastAsia="Arial" w:hAnsi="Arial"/>
                <w:sz w:val="16"/>
                <w:szCs w:val="16"/>
                <w:color w:val="auto"/>
              </w:rPr>
              <w:t>Variable Equity</w:t>
            </w:r>
          </w:p>
        </w:tc>
        <w:tc>
          <w:tcPr>
            <w:tcW w:w="1420" w:type="dxa"/>
            <w:vAlign w:val="bottom"/>
            <w:tcBorders>
              <w:top w:val="single" w:sz="8" w:color="BCBEC0"/>
            </w:tcBorders>
          </w:tcPr>
          <w:p>
            <w:pPr>
              <w:ind w:left="140"/>
              <w:spacing w:after="0" w:line="168" w:lineRule="exact"/>
              <w:rPr>
                <w:sz w:val="20"/>
                <w:szCs w:val="20"/>
                <w:color w:val="auto"/>
              </w:rPr>
            </w:pPr>
            <w:r>
              <w:rPr>
                <w:rFonts w:ascii="Arial" w:cs="Arial" w:eastAsia="Arial" w:hAnsi="Arial"/>
                <w:sz w:val="16"/>
                <w:szCs w:val="16"/>
                <w:color w:val="auto"/>
              </w:rPr>
              <w:t>3-year ratable</w:t>
            </w:r>
          </w:p>
        </w:tc>
        <w:tc>
          <w:tcPr>
            <w:tcW w:w="3180" w:type="dxa"/>
            <w:vAlign w:val="bottom"/>
            <w:tcBorders>
              <w:top w:val="single" w:sz="8" w:color="BCBEC0"/>
            </w:tcBorders>
          </w:tcPr>
          <w:p>
            <w:pPr>
              <w:ind w:left="260"/>
              <w:spacing w:after="0" w:line="168" w:lineRule="exact"/>
              <w:rPr>
                <w:sz w:val="20"/>
                <w:szCs w:val="20"/>
                <w:color w:val="auto"/>
              </w:rPr>
            </w:pPr>
            <w:r>
              <w:rPr>
                <w:rFonts w:ascii="Arial" w:cs="Arial" w:eastAsia="Arial" w:hAnsi="Arial"/>
                <w:sz w:val="16"/>
                <w:szCs w:val="16"/>
                <w:color w:val="auto"/>
              </w:rPr>
              <w:t>Delivers value to participant based on</w:t>
            </w:r>
          </w:p>
        </w:tc>
        <w:tc>
          <w:tcPr>
            <w:tcW w:w="2920" w:type="dxa"/>
            <w:vAlign w:val="bottom"/>
            <w:tcBorders>
              <w:top w:val="single" w:sz="8" w:color="BCBEC0"/>
            </w:tcBorders>
          </w:tcPr>
          <w:p>
            <w:pPr>
              <w:ind w:left="120"/>
              <w:spacing w:after="0" w:line="168" w:lineRule="exact"/>
              <w:rPr>
                <w:sz w:val="20"/>
                <w:szCs w:val="20"/>
                <w:color w:val="auto"/>
              </w:rPr>
            </w:pPr>
            <w:r>
              <w:rPr>
                <w:rFonts w:ascii="Arial" w:cs="Arial" w:eastAsia="Arial" w:hAnsi="Arial"/>
                <w:sz w:val="16"/>
                <w:szCs w:val="16"/>
                <w:color w:val="auto"/>
              </w:rPr>
              <w:t>Aligns executives’ and shareholders’</w:t>
            </w:r>
          </w:p>
        </w:tc>
      </w:tr>
      <w:tr>
        <w:trPr>
          <w:trHeight w:val="189"/>
        </w:trPr>
        <w:tc>
          <w:tcPr>
            <w:tcW w:w="2140" w:type="dxa"/>
            <w:vAlign w:val="bottom"/>
          </w:tcPr>
          <w:p>
            <w:pPr>
              <w:ind w:left="60"/>
              <w:spacing w:after="0"/>
              <w:rPr>
                <w:sz w:val="20"/>
                <w:szCs w:val="20"/>
                <w:color w:val="auto"/>
              </w:rPr>
            </w:pPr>
            <w:r>
              <w:rPr>
                <w:rFonts w:ascii="Arial" w:cs="Arial" w:eastAsia="Arial" w:hAnsi="Arial"/>
                <w:sz w:val="16"/>
                <w:szCs w:val="16"/>
                <w:color w:val="auto"/>
              </w:rPr>
              <w:t>Rights (SARs)</w:t>
            </w:r>
          </w:p>
        </w:tc>
        <w:tc>
          <w:tcPr>
            <w:tcW w:w="1580" w:type="dxa"/>
            <w:vAlign w:val="bottom"/>
          </w:tcPr>
          <w:p>
            <w:pPr>
              <w:spacing w:after="0"/>
              <w:rPr>
                <w:sz w:val="16"/>
                <w:szCs w:val="16"/>
                <w:color w:val="auto"/>
              </w:rPr>
            </w:pPr>
          </w:p>
        </w:tc>
        <w:tc>
          <w:tcPr>
            <w:tcW w:w="1420" w:type="dxa"/>
            <w:vAlign w:val="bottom"/>
          </w:tcPr>
          <w:p>
            <w:pPr>
              <w:ind w:left="140"/>
              <w:spacing w:after="0"/>
              <w:rPr>
                <w:sz w:val="20"/>
                <w:szCs w:val="20"/>
                <w:color w:val="auto"/>
              </w:rPr>
            </w:pPr>
            <w:r>
              <w:rPr>
                <w:rFonts w:ascii="Arial" w:cs="Arial" w:eastAsia="Arial" w:hAnsi="Arial"/>
                <w:sz w:val="16"/>
                <w:szCs w:val="16"/>
                <w:color w:val="auto"/>
              </w:rPr>
              <w:t>vesting</w:t>
            </w:r>
          </w:p>
        </w:tc>
        <w:tc>
          <w:tcPr>
            <w:tcW w:w="3180" w:type="dxa"/>
            <w:vAlign w:val="bottom"/>
          </w:tcPr>
          <w:p>
            <w:pPr>
              <w:ind w:left="260"/>
              <w:spacing w:after="0"/>
              <w:rPr>
                <w:sz w:val="20"/>
                <w:szCs w:val="20"/>
                <w:color w:val="auto"/>
              </w:rPr>
            </w:pPr>
            <w:r>
              <w:rPr>
                <w:rFonts w:ascii="Arial" w:cs="Arial" w:eastAsia="Arial" w:hAnsi="Arial"/>
                <w:sz w:val="16"/>
                <w:szCs w:val="16"/>
                <w:color w:val="auto"/>
              </w:rPr>
              <w:t>the appreciation in our stock price</w:t>
            </w:r>
          </w:p>
        </w:tc>
        <w:tc>
          <w:tcPr>
            <w:tcW w:w="2920" w:type="dxa"/>
            <w:vAlign w:val="bottom"/>
          </w:tcPr>
          <w:p>
            <w:pPr>
              <w:ind w:left="120"/>
              <w:spacing w:after="0"/>
              <w:rPr>
                <w:sz w:val="20"/>
                <w:szCs w:val="20"/>
                <w:color w:val="auto"/>
              </w:rPr>
            </w:pPr>
            <w:r>
              <w:rPr>
                <w:rFonts w:ascii="Arial" w:cs="Arial" w:eastAsia="Arial" w:hAnsi="Arial"/>
                <w:sz w:val="16"/>
                <w:szCs w:val="16"/>
                <w:color w:val="auto"/>
              </w:rPr>
              <w:t>interests in share price appreciation.</w:t>
            </w:r>
          </w:p>
        </w:tc>
      </w:tr>
      <w:tr>
        <w:trPr>
          <w:trHeight w:val="189"/>
        </w:trPr>
        <w:tc>
          <w:tcPr>
            <w:tcW w:w="2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3180" w:type="dxa"/>
            <w:vAlign w:val="bottom"/>
          </w:tcPr>
          <w:p>
            <w:pPr>
              <w:ind w:left="260"/>
              <w:spacing w:after="0"/>
              <w:rPr>
                <w:sz w:val="20"/>
                <w:szCs w:val="20"/>
                <w:color w:val="auto"/>
              </w:rPr>
            </w:pPr>
            <w:r>
              <w:rPr>
                <w:rFonts w:ascii="Arial" w:cs="Arial" w:eastAsia="Arial" w:hAnsi="Arial"/>
                <w:sz w:val="16"/>
                <w:szCs w:val="16"/>
                <w:color w:val="auto"/>
              </w:rPr>
              <w:t>between the date of grant and the date</w:t>
            </w:r>
          </w:p>
        </w:tc>
        <w:tc>
          <w:tcPr>
            <w:tcW w:w="2920" w:type="dxa"/>
            <w:vAlign w:val="bottom"/>
          </w:tcPr>
          <w:p>
            <w:pPr>
              <w:spacing w:after="0"/>
              <w:rPr>
                <w:sz w:val="16"/>
                <w:szCs w:val="16"/>
                <w:color w:val="auto"/>
              </w:rPr>
            </w:pPr>
          </w:p>
        </w:tc>
      </w:tr>
      <w:tr>
        <w:trPr>
          <w:trHeight w:val="215"/>
        </w:trPr>
        <w:tc>
          <w:tcPr>
            <w:tcW w:w="2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180" w:type="dxa"/>
            <w:vAlign w:val="bottom"/>
          </w:tcPr>
          <w:p>
            <w:pPr>
              <w:ind w:left="260"/>
              <w:spacing w:after="0"/>
              <w:rPr>
                <w:sz w:val="20"/>
                <w:szCs w:val="20"/>
                <w:color w:val="auto"/>
              </w:rPr>
            </w:pPr>
            <w:r>
              <w:rPr>
                <w:rFonts w:ascii="Arial" w:cs="Arial" w:eastAsia="Arial" w:hAnsi="Arial"/>
                <w:sz w:val="16"/>
                <w:szCs w:val="16"/>
                <w:color w:val="auto"/>
              </w:rPr>
              <w:t>of exercise.</w:t>
            </w:r>
          </w:p>
        </w:tc>
        <w:tc>
          <w:tcPr>
            <w:tcW w:w="29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p>
      <w:pPr>
        <w:ind w:left="60"/>
        <w:spacing w:after="0"/>
        <w:tabs>
          <w:tab w:leader="none" w:pos="2480" w:val="left"/>
          <w:tab w:leader="none" w:pos="3840" w:val="left"/>
          <w:tab w:leader="none" w:pos="5380" w:val="left"/>
        </w:tabs>
        <w:rPr>
          <w:sz w:val="20"/>
          <w:szCs w:val="20"/>
          <w:color w:val="auto"/>
        </w:rPr>
      </w:pPr>
      <w:r>
        <w:rPr>
          <w:rFonts w:ascii="Arial" w:cs="Arial" w:eastAsia="Arial" w:hAnsi="Arial"/>
          <w:sz w:val="16"/>
          <w:szCs w:val="16"/>
          <w:color w:val="auto"/>
        </w:rPr>
        <w:t>25% Restricted Shares</w:t>
      </w:r>
      <w:r>
        <w:rPr>
          <w:sz w:val="20"/>
          <w:szCs w:val="20"/>
          <w:color w:val="auto"/>
        </w:rPr>
        <w:tab/>
      </w:r>
      <w:r>
        <w:rPr>
          <w:rFonts w:ascii="Arial" w:cs="Arial" w:eastAsia="Arial" w:hAnsi="Arial"/>
          <w:sz w:val="16"/>
          <w:szCs w:val="16"/>
          <w:color w:val="auto"/>
        </w:rPr>
        <w:t>Variable Equity</w:t>
      </w:r>
      <w:r>
        <w:rPr>
          <w:sz w:val="20"/>
          <w:szCs w:val="20"/>
          <w:color w:val="auto"/>
        </w:rPr>
        <w:tab/>
      </w:r>
      <w:r>
        <w:rPr>
          <w:rFonts w:ascii="Arial" w:cs="Arial" w:eastAsia="Arial" w:hAnsi="Arial"/>
          <w:sz w:val="16"/>
          <w:szCs w:val="16"/>
          <w:color w:val="auto"/>
        </w:rPr>
        <w:t>3-year cliff vesting</w:t>
        <w:tab/>
        <w:t>Provides value to executives for their</w:t>
      </w:r>
    </w:p>
    <w:p>
      <w:pPr>
        <w:spacing w:after="0" w:line="9"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commitment to the Company.</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Represents a grant of shares of</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Hubbell common stock that vests after</w:t>
      </w:r>
    </w:p>
    <w:p>
      <w:pPr>
        <w:spacing w:after="0" w:line="5"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Arial" w:cs="Arial" w:eastAsia="Arial" w:hAnsi="Arial"/>
          <w:sz w:val="16"/>
          <w:szCs w:val="16"/>
          <w:color w:val="auto"/>
        </w:rPr>
        <w:t>Promotes the retention of key executives, and aligns executives’ and shareholders’ interests in share price appreciation.</w:t>
      </w:r>
    </w:p>
    <w:p>
      <w:pPr>
        <w:spacing w:after="0" w:line="357" w:lineRule="exact"/>
        <w:rPr>
          <w:sz w:val="20"/>
          <w:szCs w:val="20"/>
          <w:color w:val="auto"/>
        </w:rPr>
      </w:pPr>
    </w:p>
    <w:p>
      <w:pPr>
        <w:sectPr>
          <w:pgSz w:w="11900" w:h="16838" w:orient="portrait"/>
          <w:cols w:equalWidth="0" w:num="2">
            <w:col w:w="8160" w:space="280"/>
            <w:col w:w="2800"/>
          </w:cols>
          <w:pgMar w:left="320" w:top="238" w:right="339" w:bottom="1440" w:gutter="0" w:footer="0" w:header="0"/>
          <w:type w:val="continuous"/>
        </w:sectPr>
      </w:pPr>
    </w:p>
    <w:p>
      <w:pPr>
        <w:spacing w:after="0"/>
        <w:tabs>
          <w:tab w:leader="none" w:pos="340" w:val="left"/>
        </w:tabs>
        <w:rPr>
          <w:sz w:val="20"/>
          <w:szCs w:val="20"/>
          <w:color w:val="auto"/>
        </w:rPr>
      </w:pPr>
      <w:r>
        <w:rPr>
          <w:rFonts w:ascii="Arial" w:cs="Arial" w:eastAsia="Arial" w:hAnsi="Arial"/>
          <w:sz w:val="16"/>
          <w:szCs w:val="16"/>
          <w:b w:val="1"/>
          <w:bCs w:val="1"/>
          <w:color w:val="auto"/>
        </w:rPr>
        <w:t>42</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How We Make Compensation Decisions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Roles for Designing and Delivering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Hubbell has a clearly defined process and roles for making decisions about executive compensation.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08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Role</w:t>
            </w:r>
          </w:p>
        </w:tc>
        <w:tc>
          <w:tcPr>
            <w:tcW w:w="7160" w:type="dxa"/>
            <w:vAlign w:val="bottom"/>
            <w:tcBorders>
              <w:bottom w:val="single" w:sz="8" w:color="FFE933"/>
            </w:tcBorders>
            <w:shd w:val="clear" w:color="auto" w:fill="FFE933"/>
          </w:tcPr>
          <w:p>
            <w:pPr>
              <w:ind w:left="1220"/>
              <w:spacing w:after="0"/>
              <w:rPr>
                <w:sz w:val="20"/>
                <w:szCs w:val="20"/>
                <w:color w:val="auto"/>
              </w:rPr>
            </w:pPr>
            <w:r>
              <w:rPr>
                <w:rFonts w:ascii="Arial" w:cs="Arial" w:eastAsia="Arial" w:hAnsi="Arial"/>
                <w:sz w:val="16"/>
                <w:szCs w:val="16"/>
                <w:b w:val="1"/>
                <w:bCs w:val="1"/>
                <w:color w:val="auto"/>
              </w:rPr>
              <w:t>Process</w:t>
            </w:r>
          </w:p>
        </w:tc>
      </w:tr>
      <w:tr>
        <w:trPr>
          <w:trHeight w:val="189"/>
        </w:trPr>
        <w:tc>
          <w:tcPr>
            <w:tcW w:w="408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Compensation Committee</w:t>
            </w:r>
          </w:p>
        </w:tc>
        <w:tc>
          <w:tcPr>
            <w:tcW w:w="7160" w:type="dxa"/>
            <w:vAlign w:val="bottom"/>
            <w:tcBorders>
              <w:bottom w:val="single" w:sz="8" w:color="BCBEC0"/>
            </w:tcBorders>
          </w:tcPr>
          <w:p>
            <w:pPr>
              <w:ind w:left="1220"/>
              <w:spacing w:after="0"/>
              <w:rPr>
                <w:sz w:val="20"/>
                <w:szCs w:val="20"/>
                <w:color w:val="auto"/>
              </w:rPr>
            </w:pPr>
            <w:r>
              <w:rPr>
                <w:rFonts w:ascii="Arial" w:cs="Arial" w:eastAsia="Arial" w:hAnsi="Arial"/>
                <w:sz w:val="16"/>
                <w:szCs w:val="16"/>
                <w:color w:val="auto"/>
              </w:rPr>
              <w:t>Oversees compensation programs and has ultimate responsibility.</w:t>
            </w:r>
          </w:p>
        </w:tc>
      </w:tr>
      <w:tr>
        <w:trPr>
          <w:trHeight w:val="168"/>
        </w:trPr>
        <w:tc>
          <w:tcPr>
            <w:tcW w:w="4080" w:type="dxa"/>
            <w:vAlign w:val="bottom"/>
          </w:tcPr>
          <w:p>
            <w:pPr>
              <w:ind w:left="60"/>
              <w:spacing w:after="0" w:line="168" w:lineRule="exact"/>
              <w:rPr>
                <w:sz w:val="20"/>
                <w:szCs w:val="20"/>
                <w:color w:val="auto"/>
              </w:rPr>
            </w:pPr>
            <w:r>
              <w:rPr>
                <w:rFonts w:ascii="Arial" w:cs="Arial" w:eastAsia="Arial" w:hAnsi="Arial"/>
                <w:sz w:val="16"/>
                <w:szCs w:val="16"/>
                <w:color w:val="auto"/>
              </w:rPr>
              <w:t>Independent Compensation Consultant</w:t>
            </w:r>
          </w:p>
        </w:tc>
        <w:tc>
          <w:tcPr>
            <w:tcW w:w="7160" w:type="dxa"/>
            <w:vAlign w:val="bottom"/>
          </w:tcPr>
          <w:p>
            <w:pPr>
              <w:ind w:left="1220"/>
              <w:spacing w:after="0" w:line="168" w:lineRule="exact"/>
              <w:rPr>
                <w:sz w:val="20"/>
                <w:szCs w:val="20"/>
                <w:color w:val="auto"/>
              </w:rPr>
            </w:pPr>
            <w:r>
              <w:rPr>
                <w:rFonts w:ascii="Arial" w:cs="Arial" w:eastAsia="Arial" w:hAnsi="Arial"/>
                <w:sz w:val="16"/>
                <w:szCs w:val="16"/>
                <w:color w:val="auto"/>
              </w:rPr>
              <w:t>Provides market data, insight, and support and advice to the Compensation</w:t>
            </w:r>
          </w:p>
        </w:tc>
      </w:tr>
      <w:tr>
        <w:trPr>
          <w:trHeight w:val="203"/>
        </w:trPr>
        <w:tc>
          <w:tcPr>
            <w:tcW w:w="4080" w:type="dxa"/>
            <w:vAlign w:val="bottom"/>
            <w:tcBorders>
              <w:bottom w:val="single" w:sz="8" w:color="BCBEC0"/>
            </w:tcBorders>
          </w:tcPr>
          <w:p>
            <w:pPr>
              <w:spacing w:after="0"/>
              <w:rPr>
                <w:sz w:val="17"/>
                <w:szCs w:val="17"/>
                <w:color w:val="auto"/>
              </w:rPr>
            </w:pPr>
          </w:p>
        </w:tc>
        <w:tc>
          <w:tcPr>
            <w:tcW w:w="7160" w:type="dxa"/>
            <w:vAlign w:val="bottom"/>
            <w:tcBorders>
              <w:bottom w:val="single" w:sz="8" w:color="BCBEC0"/>
            </w:tcBorders>
          </w:tcPr>
          <w:p>
            <w:pPr>
              <w:ind w:left="1220"/>
              <w:spacing w:after="0"/>
              <w:rPr>
                <w:sz w:val="20"/>
                <w:szCs w:val="20"/>
                <w:color w:val="auto"/>
              </w:rPr>
            </w:pPr>
            <w:r>
              <w:rPr>
                <w:rFonts w:ascii="Arial" w:cs="Arial" w:eastAsia="Arial" w:hAnsi="Arial"/>
                <w:sz w:val="16"/>
                <w:szCs w:val="16"/>
                <w:color w:val="auto"/>
              </w:rPr>
              <w:t>Committee.</w:t>
            </w:r>
          </w:p>
        </w:tc>
      </w:tr>
      <w:tr>
        <w:trPr>
          <w:trHeight w:val="183"/>
        </w:trPr>
        <w:tc>
          <w:tcPr>
            <w:tcW w:w="40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CEO and Management</w:t>
            </w:r>
          </w:p>
        </w:tc>
        <w:tc>
          <w:tcPr>
            <w:tcW w:w="7160" w:type="dxa"/>
            <w:vAlign w:val="bottom"/>
            <w:tcBorders>
              <w:bottom w:val="single" w:sz="8" w:color="BCBEC0"/>
            </w:tcBorders>
          </w:tcPr>
          <w:p>
            <w:pPr>
              <w:ind w:left="1220"/>
              <w:spacing w:after="0" w:line="183" w:lineRule="exact"/>
              <w:rPr>
                <w:sz w:val="20"/>
                <w:szCs w:val="20"/>
                <w:color w:val="auto"/>
              </w:rPr>
            </w:pPr>
            <w:r>
              <w:rPr>
                <w:rFonts w:ascii="Arial" w:cs="Arial" w:eastAsia="Arial" w:hAnsi="Arial"/>
                <w:sz w:val="16"/>
                <w:szCs w:val="16"/>
                <w:color w:val="auto"/>
              </w:rPr>
              <w:t>Provide data and limited input to the Compensation Committee.</w:t>
            </w:r>
          </w:p>
        </w:tc>
      </w:tr>
      <w:tr>
        <w:trPr>
          <w:trHeight w:val="183"/>
        </w:trPr>
        <w:tc>
          <w:tcPr>
            <w:tcW w:w="40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Shareholders</w:t>
            </w:r>
          </w:p>
        </w:tc>
        <w:tc>
          <w:tcPr>
            <w:tcW w:w="7160" w:type="dxa"/>
            <w:vAlign w:val="bottom"/>
            <w:tcBorders>
              <w:bottom w:val="single" w:sz="8" w:color="BCBEC0"/>
            </w:tcBorders>
          </w:tcPr>
          <w:p>
            <w:pPr>
              <w:ind w:left="1220"/>
              <w:spacing w:after="0" w:line="183" w:lineRule="exact"/>
              <w:rPr>
                <w:sz w:val="20"/>
                <w:szCs w:val="20"/>
                <w:color w:val="auto"/>
              </w:rPr>
            </w:pPr>
            <w:r>
              <w:rPr>
                <w:rFonts w:ascii="Arial" w:cs="Arial" w:eastAsia="Arial" w:hAnsi="Arial"/>
                <w:sz w:val="16"/>
                <w:szCs w:val="16"/>
                <w:color w:val="auto"/>
              </w:rPr>
              <w:t>Feedback drives our compensation program design.</w:t>
            </w:r>
          </w:p>
        </w:tc>
      </w:tr>
    </w:tbl>
    <w:p>
      <w:pPr>
        <w:spacing w:after="0" w:line="221" w:lineRule="exact"/>
        <w:rPr>
          <w:sz w:val="20"/>
          <w:szCs w:val="20"/>
          <w:color w:val="auto"/>
        </w:rPr>
      </w:pPr>
    </w:p>
    <w:p>
      <w:pPr>
        <w:spacing w:after="0"/>
        <w:rPr>
          <w:sz w:val="20"/>
          <w:szCs w:val="20"/>
          <w:color w:val="auto"/>
        </w:rPr>
      </w:pPr>
      <w:r>
        <w:rPr>
          <w:rFonts w:ascii="Arial" w:cs="Arial" w:eastAsia="Arial" w:hAnsi="Arial"/>
          <w:sz w:val="25"/>
          <w:szCs w:val="25"/>
          <w:color w:val="auto"/>
        </w:rPr>
        <w:t>Role of the Compensation Committee and the Independent Compensation Consultant</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Compensation Committee determines the Company’s compensation philosophy and approves each element of executive compensation. The Compensation Committee relies on advice and data provided by Exequity, an independent compensation consultant engaged by the Compensation Committee. Exequity does not advise management and receives no compensation from Hubbell for services other than those provided to the Compensation Committee and the NCGC (for which it provides guidance on independent Director compensation, as described on page 32). Although the Compensation Committee considers recommendations made by the CEO with respect to executive compensation for executives other than himself, the Compensation Committee is solely responsible for making all executive compensation decisions.</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Compensation Committee discusses its compensation philosophy with Exequity and expects Exequity to present options for award practices and to provide context for any proposals, but otherwise does not impose any specific limitations or constraints on or direct the manner in which Exequity performs its advisory services. As advisor to the Compensation Committee, Exequity reviews the compensation strategy and pay levels for the NEOs, examines all aspects of the Company’s executive compensation programs to ensure they support our business strategy and objectives, informs the Compensation Committee of developing regulatory considerations and trends affecting executive compensation and benefit programs, and provides general advice with respect to all compensation decisions pertaining to the CEO and to all officer compensation recommendations submitted by management.</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Compensation Committee assesses the independence of Exequity annually and has concluded that no conflict of interest currently exists or existed in 2025 that would prevent Exequity from providing independent advice to the Compensation Committee. In making this determination, the Compensation Committee considered, among other things, the following factors: (1) Exequity did not provide any non-compensation-related services to (and did not receive any fees for any non-compensation-related services from) Hubbell; (2) the engagement complied with Exequity’s internal conflict of interest policies; (3) there are no other business or personal relationships between Company management or members of the Compensation Committee and any representatives of Exequity who provide services to the Company; and (4) neither Exequity nor any representatives of Exequity who provide services to the Company own any Hubbell securities.</w:t>
      </w:r>
    </w:p>
    <w:p>
      <w:pPr>
        <w:spacing w:after="0" w:line="15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Process and Timeline for Designing and Delivering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511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8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The Compensation Committee follows a comprehensive process to determine compensation values and benchmark program design.</w:t>
      </w:r>
    </w:p>
    <w:p>
      <w:pPr>
        <w:spacing w:after="0" w:line="3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Over the course of its four planned meetings each year, Hubbell’s Compensation Committee thoroughly reviews compensation design and amounts for our NEOs. In addition to the meetings described below, the Compensation Committee may schedule additional meetings throughout the year. The timeline below sets forth a subset of certain of the topics the Compensation Committee considers in consultation with Exequity.</w:t>
      </w:r>
    </w:p>
    <w:p>
      <w:pPr>
        <w:spacing w:after="0" w:line="158"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6"/>
          <w:szCs w:val="16"/>
          <w:b w:val="1"/>
          <w:bCs w:val="1"/>
          <w:color w:val="auto"/>
        </w:rPr>
        <w:t>FEBRUARY</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Approve base pay changes, Short-Term Incentive payouts and Long-Term Incentive grant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 w:lineRule="exact"/>
        <w:rPr>
          <w:sz w:val="20"/>
          <w:szCs w:val="20"/>
          <w:color w:val="auto"/>
        </w:rPr>
      </w:pPr>
    </w:p>
    <w:p>
      <w:pPr>
        <w:ind w:left="1660" w:hanging="167"/>
        <w:spacing w:after="0"/>
        <w:tabs>
          <w:tab w:leader="none" w:pos="1660" w:val="left"/>
        </w:tabs>
        <w:numPr>
          <w:ilvl w:val="0"/>
          <w:numId w:val="50"/>
        </w:numPr>
        <w:rPr>
          <w:rFonts w:ascii="Arial" w:cs="Arial" w:eastAsia="Arial" w:hAnsi="Arial"/>
          <w:sz w:val="16"/>
          <w:szCs w:val="16"/>
          <w:color w:val="2F8B9E"/>
        </w:rPr>
      </w:pPr>
      <w:r>
        <w:rPr>
          <w:rFonts w:ascii="Arial" w:cs="Arial" w:eastAsia="Arial" w:hAnsi="Arial"/>
          <w:sz w:val="16"/>
          <w:szCs w:val="16"/>
          <w:color w:val="auto"/>
        </w:rPr>
        <w:t>Approve performance goals, plan designs, and targets for the LTI and STI programs.</w:t>
      </w:r>
    </w:p>
    <w:p>
      <w:pPr>
        <w:spacing w:after="0" w:line="5" w:lineRule="exact"/>
        <w:rPr>
          <w:rFonts w:ascii="Arial" w:cs="Arial" w:eastAsia="Arial" w:hAnsi="Arial"/>
          <w:sz w:val="16"/>
          <w:szCs w:val="16"/>
          <w:color w:val="2F8B9E"/>
        </w:rPr>
      </w:pPr>
    </w:p>
    <w:p>
      <w:pPr>
        <w:ind w:left="1660" w:hanging="167"/>
        <w:spacing w:after="0"/>
        <w:tabs>
          <w:tab w:leader="none" w:pos="1660" w:val="left"/>
        </w:tabs>
        <w:numPr>
          <w:ilvl w:val="0"/>
          <w:numId w:val="50"/>
        </w:numPr>
        <w:rPr>
          <w:rFonts w:ascii="Arial" w:cs="Arial" w:eastAsia="Arial" w:hAnsi="Arial"/>
          <w:sz w:val="16"/>
          <w:szCs w:val="16"/>
          <w:color w:val="2F8B9E"/>
        </w:rPr>
      </w:pPr>
      <w:r>
        <w:rPr>
          <w:rFonts w:ascii="Arial" w:cs="Arial" w:eastAsia="Arial" w:hAnsi="Arial"/>
          <w:sz w:val="16"/>
          <w:szCs w:val="16"/>
          <w:color w:val="auto"/>
        </w:rPr>
        <w:t>Finalize applicable performance share payouts for the three-year performance period that ended the prior year.</w:t>
      </w:r>
    </w:p>
    <w:p>
      <w:pPr>
        <w:spacing w:after="0" w:line="14" w:lineRule="exact"/>
        <w:rPr>
          <w:rFonts w:ascii="Arial" w:cs="Arial" w:eastAsia="Arial" w:hAnsi="Arial"/>
          <w:sz w:val="16"/>
          <w:szCs w:val="16"/>
          <w:color w:val="2F8B9E"/>
        </w:rPr>
      </w:pPr>
    </w:p>
    <w:p>
      <w:pPr>
        <w:ind w:left="1660" w:hanging="167"/>
        <w:spacing w:after="0" w:line="180" w:lineRule="auto"/>
        <w:tabs>
          <w:tab w:leader="none" w:pos="1660" w:val="left"/>
        </w:tabs>
        <w:numPr>
          <w:ilvl w:val="0"/>
          <w:numId w:val="50"/>
        </w:numPr>
        <w:rPr>
          <w:rFonts w:ascii="Arial" w:cs="Arial" w:eastAsia="Arial" w:hAnsi="Arial"/>
          <w:sz w:val="27"/>
          <w:szCs w:val="27"/>
          <w:color w:val="2F8B9E"/>
          <w:vertAlign w:val="superscript"/>
        </w:rPr>
      </w:pPr>
      <w:r>
        <w:rPr>
          <w:rFonts w:ascii="Arial" w:cs="Arial" w:eastAsia="Arial" w:hAnsi="Arial"/>
          <w:sz w:val="14"/>
          <w:szCs w:val="14"/>
          <w:color w:val="auto"/>
        </w:rPr>
        <w:t>Review tally sheets</w:t>
      </w:r>
      <w:r>
        <w:rPr>
          <w:rFonts w:ascii="Arial" w:cs="Arial" w:eastAsia="Arial" w:hAnsi="Arial"/>
          <w:sz w:val="22"/>
          <w:szCs w:val="22"/>
          <w:color w:val="auto"/>
          <w:vertAlign w:val="superscript"/>
        </w:rPr>
        <w:t>(1)</w:t>
      </w:r>
      <w:r>
        <w:rPr>
          <w:rFonts w:ascii="Arial" w:cs="Arial" w:eastAsia="Arial" w:hAnsi="Arial"/>
          <w:sz w:val="14"/>
          <w:szCs w:val="14"/>
          <w:color w:val="auto"/>
        </w:rPr>
        <w:t xml:space="preserve"> for all NEOs and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tabs>
          <w:tab w:leader="none" w:pos="1480" w:val="left"/>
        </w:tabs>
        <w:rPr>
          <w:sz w:val="20"/>
          <w:szCs w:val="20"/>
          <w:color w:val="auto"/>
        </w:rPr>
      </w:pPr>
      <w:r>
        <w:rPr>
          <w:rFonts w:ascii="Arial" w:cs="Arial" w:eastAsia="Arial" w:hAnsi="Arial"/>
          <w:sz w:val="16"/>
          <w:szCs w:val="16"/>
          <w:b w:val="1"/>
          <w:bCs w:val="1"/>
          <w:color w:val="auto"/>
        </w:rPr>
        <w:t>MAY</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Review pay for performance and realized compensation analysis for the prior year and three-year period.</w:t>
      </w:r>
    </w:p>
    <w:p>
      <w:pPr>
        <w:spacing w:after="0" w:line="5" w:lineRule="exact"/>
        <w:rPr>
          <w:sz w:val="20"/>
          <w:szCs w:val="20"/>
          <w:color w:val="auto"/>
        </w:rPr>
      </w:pPr>
    </w:p>
    <w:p>
      <w:pPr>
        <w:ind w:left="1660" w:hanging="167"/>
        <w:spacing w:after="0"/>
        <w:tabs>
          <w:tab w:leader="none" w:pos="1660" w:val="left"/>
        </w:tabs>
        <w:numPr>
          <w:ilvl w:val="0"/>
          <w:numId w:val="51"/>
        </w:numPr>
        <w:rPr>
          <w:rFonts w:ascii="Arial" w:cs="Arial" w:eastAsia="Arial" w:hAnsi="Arial"/>
          <w:sz w:val="16"/>
          <w:szCs w:val="16"/>
          <w:color w:val="2F8B9E"/>
        </w:rPr>
      </w:pPr>
      <w:r>
        <w:rPr>
          <w:rFonts w:ascii="Arial" w:cs="Arial" w:eastAsia="Arial" w:hAnsi="Arial"/>
          <w:sz w:val="16"/>
          <w:szCs w:val="16"/>
          <w:color w:val="auto"/>
        </w:rPr>
        <w:t>Review the composition of the Peer Group.</w:t>
      </w:r>
    </w:p>
    <w:p>
      <w:pPr>
        <w:spacing w:after="0" w:line="5" w:lineRule="exact"/>
        <w:rPr>
          <w:rFonts w:ascii="Arial" w:cs="Arial" w:eastAsia="Arial" w:hAnsi="Arial"/>
          <w:sz w:val="16"/>
          <w:szCs w:val="16"/>
          <w:color w:val="2F8B9E"/>
        </w:rPr>
      </w:pPr>
    </w:p>
    <w:p>
      <w:pPr>
        <w:ind w:left="1660" w:hanging="167"/>
        <w:spacing w:after="0"/>
        <w:tabs>
          <w:tab w:leader="none" w:pos="1660" w:val="left"/>
        </w:tabs>
        <w:numPr>
          <w:ilvl w:val="0"/>
          <w:numId w:val="51"/>
        </w:numPr>
        <w:rPr>
          <w:rFonts w:ascii="Arial" w:cs="Arial" w:eastAsia="Arial" w:hAnsi="Arial"/>
          <w:sz w:val="16"/>
          <w:szCs w:val="16"/>
          <w:color w:val="2F8B9E"/>
        </w:rPr>
      </w:pPr>
      <w:r>
        <w:rPr>
          <w:rFonts w:ascii="Arial" w:cs="Arial" w:eastAsia="Arial" w:hAnsi="Arial"/>
          <w:sz w:val="16"/>
          <w:szCs w:val="16"/>
          <w:color w:val="auto"/>
        </w:rPr>
        <w:t>Conduct a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tabs>
          <w:tab w:leader="none" w:pos="1480" w:val="left"/>
        </w:tabs>
        <w:rPr>
          <w:sz w:val="20"/>
          <w:szCs w:val="20"/>
          <w:color w:val="auto"/>
        </w:rPr>
      </w:pPr>
      <w:r>
        <w:rPr>
          <w:rFonts w:ascii="Arial" w:cs="Arial" w:eastAsia="Arial" w:hAnsi="Arial"/>
          <w:sz w:val="16"/>
          <w:szCs w:val="16"/>
          <w:b w:val="1"/>
          <w:bCs w:val="1"/>
          <w:color w:val="auto"/>
        </w:rPr>
        <w:t>SEPTEMBER</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Review executive compensation benchmarking against the Peer Group and the general market.</w:t>
      </w:r>
    </w:p>
    <w:p>
      <w:pPr>
        <w:spacing w:after="0" w:line="9" w:lineRule="exact"/>
        <w:rPr>
          <w:sz w:val="20"/>
          <w:szCs w:val="20"/>
          <w:color w:val="auto"/>
        </w:rPr>
      </w:pPr>
    </w:p>
    <w:p>
      <w:pPr>
        <w:ind w:left="1660" w:hanging="167"/>
        <w:spacing w:after="0"/>
        <w:tabs>
          <w:tab w:leader="none" w:pos="1660" w:val="left"/>
        </w:tabs>
        <w:numPr>
          <w:ilvl w:val="0"/>
          <w:numId w:val="52"/>
        </w:numPr>
        <w:rPr>
          <w:rFonts w:ascii="Arial" w:cs="Arial" w:eastAsia="Arial" w:hAnsi="Arial"/>
          <w:sz w:val="16"/>
          <w:szCs w:val="16"/>
          <w:color w:val="2F8B9E"/>
        </w:rPr>
      </w:pPr>
      <w:r>
        <w:rPr>
          <w:rFonts w:ascii="Arial" w:cs="Arial" w:eastAsia="Arial" w:hAnsi="Arial"/>
          <w:sz w:val="16"/>
          <w:szCs w:val="16"/>
          <w:color w:val="auto"/>
        </w:rPr>
        <w:t>Review executive compensation program design trends and regulatory matters.</w:t>
      </w:r>
    </w:p>
    <w:p>
      <w:pPr>
        <w:spacing w:after="0" w:line="5" w:lineRule="exact"/>
        <w:rPr>
          <w:rFonts w:ascii="Arial" w:cs="Arial" w:eastAsia="Arial" w:hAnsi="Arial"/>
          <w:sz w:val="16"/>
          <w:szCs w:val="16"/>
          <w:color w:val="2F8B9E"/>
        </w:rPr>
      </w:pPr>
    </w:p>
    <w:p>
      <w:pPr>
        <w:ind w:left="1660" w:hanging="167"/>
        <w:spacing w:after="0"/>
        <w:tabs>
          <w:tab w:leader="none" w:pos="1660" w:val="left"/>
        </w:tabs>
        <w:numPr>
          <w:ilvl w:val="0"/>
          <w:numId w:val="52"/>
        </w:numPr>
        <w:rPr>
          <w:rFonts w:ascii="Arial" w:cs="Arial" w:eastAsia="Arial" w:hAnsi="Arial"/>
          <w:sz w:val="16"/>
          <w:szCs w:val="16"/>
          <w:color w:val="2F8B9E"/>
        </w:rPr>
      </w:pPr>
      <w:r>
        <w:rPr>
          <w:rFonts w:ascii="Arial" w:cs="Arial" w:eastAsia="Arial" w:hAnsi="Arial"/>
          <w:sz w:val="16"/>
          <w:szCs w:val="16"/>
          <w:color w:val="auto"/>
        </w:rPr>
        <w:t>Review/discuss any program design changes for the upcoming year.</w:t>
      </w:r>
    </w:p>
    <w:p>
      <w:pPr>
        <w:spacing w:after="0" w:line="5" w:lineRule="exact"/>
        <w:rPr>
          <w:rFonts w:ascii="Arial" w:cs="Arial" w:eastAsia="Arial" w:hAnsi="Arial"/>
          <w:sz w:val="16"/>
          <w:szCs w:val="16"/>
          <w:color w:val="2F8B9E"/>
        </w:rPr>
      </w:pPr>
    </w:p>
    <w:p>
      <w:pPr>
        <w:ind w:left="1660" w:hanging="167"/>
        <w:spacing w:after="0"/>
        <w:tabs>
          <w:tab w:leader="none" w:pos="1660" w:val="left"/>
        </w:tabs>
        <w:numPr>
          <w:ilvl w:val="0"/>
          <w:numId w:val="52"/>
        </w:numPr>
        <w:rPr>
          <w:rFonts w:ascii="Arial" w:cs="Arial" w:eastAsia="Arial" w:hAnsi="Arial"/>
          <w:sz w:val="16"/>
          <w:szCs w:val="16"/>
          <w:color w:val="2F8B9E"/>
        </w:rPr>
      </w:pPr>
      <w:r>
        <w:rPr>
          <w:rFonts w:ascii="Arial" w:cs="Arial" w:eastAsia="Arial" w:hAnsi="Arial"/>
          <w:sz w:val="16"/>
          <w:szCs w:val="16"/>
          <w:color w:val="auto"/>
        </w:rPr>
        <w:t>Review projections for Short-Term Incentives and Long-Term Incentive performance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tabs>
          <w:tab w:leader="none" w:pos="1480" w:val="left"/>
        </w:tabs>
        <w:rPr>
          <w:sz w:val="20"/>
          <w:szCs w:val="20"/>
          <w:color w:val="auto"/>
        </w:rPr>
      </w:pPr>
      <w:r>
        <w:rPr>
          <w:rFonts w:ascii="Arial" w:cs="Arial" w:eastAsia="Arial" w:hAnsi="Arial"/>
          <w:sz w:val="16"/>
          <w:szCs w:val="16"/>
          <w:b w:val="1"/>
          <w:bCs w:val="1"/>
          <w:color w:val="auto"/>
        </w:rPr>
        <w:t>DECEMBER</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Conduct initial review of individual executive compensation changes for the upcoming year.</w:t>
      </w:r>
    </w:p>
    <w:p>
      <w:pPr>
        <w:spacing w:after="0" w:line="9" w:lineRule="exact"/>
        <w:rPr>
          <w:sz w:val="20"/>
          <w:szCs w:val="20"/>
          <w:color w:val="auto"/>
        </w:rPr>
      </w:pPr>
    </w:p>
    <w:p>
      <w:pPr>
        <w:ind w:left="1660" w:hanging="167"/>
        <w:spacing w:after="0"/>
        <w:tabs>
          <w:tab w:leader="none" w:pos="1660" w:val="left"/>
        </w:tabs>
        <w:numPr>
          <w:ilvl w:val="1"/>
          <w:numId w:val="53"/>
        </w:numPr>
        <w:rPr>
          <w:rFonts w:ascii="Arial" w:cs="Arial" w:eastAsia="Arial" w:hAnsi="Arial"/>
          <w:sz w:val="16"/>
          <w:szCs w:val="16"/>
          <w:color w:val="2F8B9E"/>
        </w:rPr>
      </w:pPr>
      <w:r>
        <w:rPr>
          <w:rFonts w:ascii="Arial" w:cs="Arial" w:eastAsia="Arial" w:hAnsi="Arial"/>
          <w:sz w:val="16"/>
          <w:szCs w:val="16"/>
          <w:color w:val="auto"/>
        </w:rPr>
        <w:t>Continue to review/discuss any program design changes for the upcoming year.</w:t>
      </w:r>
    </w:p>
    <w:p>
      <w:pPr>
        <w:spacing w:after="0" w:line="5" w:lineRule="exact"/>
        <w:rPr>
          <w:rFonts w:ascii="Arial" w:cs="Arial" w:eastAsia="Arial" w:hAnsi="Arial"/>
          <w:sz w:val="16"/>
          <w:szCs w:val="16"/>
          <w:color w:val="2F8B9E"/>
        </w:rPr>
      </w:pPr>
    </w:p>
    <w:p>
      <w:pPr>
        <w:ind w:left="1660" w:hanging="167"/>
        <w:spacing w:after="0"/>
        <w:tabs>
          <w:tab w:leader="none" w:pos="1660" w:val="left"/>
        </w:tabs>
        <w:numPr>
          <w:ilvl w:val="1"/>
          <w:numId w:val="53"/>
        </w:numPr>
        <w:rPr>
          <w:rFonts w:ascii="Arial" w:cs="Arial" w:eastAsia="Arial" w:hAnsi="Arial"/>
          <w:sz w:val="16"/>
          <w:szCs w:val="16"/>
          <w:color w:val="2F8B9E"/>
        </w:rPr>
      </w:pPr>
      <w:r>
        <w:rPr>
          <w:rFonts w:ascii="Arial" w:cs="Arial" w:eastAsia="Arial" w:hAnsi="Arial"/>
          <w:sz w:val="16"/>
          <w:szCs w:val="16"/>
          <w:color w:val="auto"/>
        </w:rPr>
        <w:t>Continue to review targets and projections for Short-Term Incentives and Long-Term Incentive performance grants.</w:t>
      </w:r>
    </w:p>
    <w:p>
      <w:pPr>
        <w:spacing w:after="0" w:line="5" w:lineRule="exact"/>
        <w:rPr>
          <w:rFonts w:ascii="Arial" w:cs="Arial" w:eastAsia="Arial" w:hAnsi="Arial"/>
          <w:sz w:val="16"/>
          <w:szCs w:val="16"/>
          <w:color w:val="2F8B9E"/>
        </w:rPr>
      </w:pPr>
    </w:p>
    <w:p>
      <w:pPr>
        <w:ind w:left="1660" w:hanging="167"/>
        <w:spacing w:after="0"/>
        <w:tabs>
          <w:tab w:leader="none" w:pos="1660" w:val="left"/>
        </w:tabs>
        <w:numPr>
          <w:ilvl w:val="1"/>
          <w:numId w:val="53"/>
        </w:numPr>
        <w:rPr>
          <w:rFonts w:ascii="Arial" w:cs="Arial" w:eastAsia="Arial" w:hAnsi="Arial"/>
          <w:sz w:val="16"/>
          <w:szCs w:val="16"/>
          <w:color w:val="2F8B9E"/>
        </w:rPr>
      </w:pPr>
      <w:r>
        <w:rPr>
          <w:rFonts w:ascii="Arial" w:cs="Arial" w:eastAsia="Arial" w:hAnsi="Arial"/>
          <w:sz w:val="16"/>
          <w:szCs w:val="16"/>
          <w:color w:val="auto"/>
        </w:rPr>
        <w:t>Review stock ownership of Directors and officers.</w:t>
      </w:r>
    </w:p>
    <w:p>
      <w:pPr>
        <w:spacing w:after="0" w:line="63" w:lineRule="exact"/>
        <w:rPr>
          <w:rFonts w:ascii="Arial" w:cs="Arial" w:eastAsia="Arial" w:hAnsi="Arial"/>
          <w:sz w:val="16"/>
          <w:szCs w:val="16"/>
          <w:color w:val="2F8B9E"/>
        </w:rPr>
      </w:pPr>
    </w:p>
    <w:p>
      <w:pPr>
        <w:ind w:left="340" w:right="20" w:hanging="332"/>
        <w:spacing w:after="0" w:line="192" w:lineRule="auto"/>
        <w:tabs>
          <w:tab w:leader="none" w:pos="340" w:val="left"/>
        </w:tabs>
        <w:numPr>
          <w:ilvl w:val="0"/>
          <w:numId w:val="5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Tally sheets identify and value each element of compensation, including base salary, Short-Term and Long-Term Incentive awards, pension benefits, deferred compensation, perquisites, and potential change in control and severance benefits and provide an aggregate sum for each NEO and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25"/>
          <w:szCs w:val="25"/>
          <w:color w:val="auto"/>
        </w:rPr>
        <w:t>Compensation Peer Group</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Compensation Committee assesses each element of executive compensation against the median compensation levels paid to executives in comparable positions in similar industries. The Compensation Committee reviewed 2024 benchmark data from two sources, the Peer Group and general industry survey data to help inform 2025 target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Peer Group used to determine pay levels for 2025 was constructed based on three primary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132080</wp:posOffset>
            </wp:positionV>
            <wp:extent cx="6858000" cy="1148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00" cy="1148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80" w:type="dxa"/>
            <w:vAlign w:val="bottom"/>
          </w:tcPr>
          <w:p>
            <w:pPr>
              <w:jc w:val="center"/>
              <w:ind w:right="139"/>
              <w:spacing w:after="0"/>
              <w:rPr>
                <w:sz w:val="20"/>
                <w:szCs w:val="20"/>
                <w:color w:val="auto"/>
              </w:rPr>
            </w:pPr>
            <w:r>
              <w:rPr>
                <w:rFonts w:ascii="Arial" w:cs="Arial" w:eastAsia="Arial" w:hAnsi="Arial"/>
                <w:sz w:val="16"/>
                <w:szCs w:val="16"/>
                <w:b w:val="1"/>
                <w:bCs w:val="1"/>
                <w:color w:val="auto"/>
              </w:rPr>
              <w:t>Industry Affiliation</w:t>
            </w: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Similar Size</w:t>
            </w:r>
          </w:p>
        </w:tc>
        <w:tc>
          <w:tcPr>
            <w:tcW w:w="4080" w:type="dxa"/>
            <w:vAlign w:val="bottom"/>
          </w:tcPr>
          <w:p>
            <w:pPr>
              <w:jc w:val="center"/>
              <w:ind w:left="119"/>
              <w:spacing w:after="0"/>
              <w:rPr>
                <w:sz w:val="20"/>
                <w:szCs w:val="20"/>
                <w:color w:val="auto"/>
              </w:rPr>
            </w:pPr>
            <w:r>
              <w:rPr>
                <w:rFonts w:ascii="Arial" w:cs="Arial" w:eastAsia="Arial" w:hAnsi="Arial"/>
                <w:sz w:val="16"/>
                <w:szCs w:val="16"/>
                <w:b w:val="1"/>
                <w:bCs w:val="1"/>
                <w:color w:val="auto"/>
              </w:rPr>
              <w:t>Competitors for Talent</w:t>
            </w:r>
          </w:p>
        </w:tc>
      </w:tr>
      <w:tr>
        <w:trPr>
          <w:trHeight w:val="344"/>
        </w:trPr>
        <w:tc>
          <w:tcPr>
            <w:tcW w:w="3480" w:type="dxa"/>
            <w:vAlign w:val="bottom"/>
          </w:tcPr>
          <w:p>
            <w:pPr>
              <w:jc w:val="center"/>
              <w:ind w:right="139"/>
              <w:spacing w:after="0"/>
              <w:rPr>
                <w:sz w:val="20"/>
                <w:szCs w:val="20"/>
                <w:color w:val="auto"/>
              </w:rPr>
            </w:pPr>
            <w:r>
              <w:rPr>
                <w:rFonts w:ascii="Arial" w:cs="Arial" w:eastAsia="Arial" w:hAnsi="Arial"/>
                <w:sz w:val="16"/>
                <w:szCs w:val="16"/>
                <w:color w:val="auto"/>
              </w:rPr>
              <w:t>Companies within the Electrical</w:t>
            </w:r>
          </w:p>
        </w:tc>
        <w:tc>
          <w:tcPr>
            <w:tcW w:w="3680" w:type="dxa"/>
            <w:vAlign w:val="bottom"/>
          </w:tcPr>
          <w:p>
            <w:pPr>
              <w:jc w:val="center"/>
              <w:spacing w:after="0"/>
              <w:rPr>
                <w:sz w:val="20"/>
                <w:szCs w:val="20"/>
                <w:color w:val="auto"/>
              </w:rPr>
            </w:pPr>
            <w:r>
              <w:rPr>
                <w:rFonts w:ascii="Arial" w:cs="Arial" w:eastAsia="Arial" w:hAnsi="Arial"/>
                <w:sz w:val="16"/>
                <w:szCs w:val="16"/>
                <w:color w:val="auto"/>
              </w:rPr>
              <w:t>Companies with revenues ranging</w:t>
            </w:r>
          </w:p>
        </w:tc>
        <w:tc>
          <w:tcPr>
            <w:tcW w:w="4080" w:type="dxa"/>
            <w:vAlign w:val="bottom"/>
          </w:tcPr>
          <w:p>
            <w:pPr>
              <w:jc w:val="center"/>
              <w:ind w:left="99"/>
              <w:spacing w:after="0"/>
              <w:rPr>
                <w:sz w:val="20"/>
                <w:szCs w:val="20"/>
                <w:color w:val="auto"/>
              </w:rPr>
            </w:pPr>
            <w:r>
              <w:rPr>
                <w:rFonts w:ascii="Arial" w:cs="Arial" w:eastAsia="Arial" w:hAnsi="Arial"/>
                <w:sz w:val="16"/>
                <w:szCs w:val="16"/>
                <w:color w:val="auto"/>
              </w:rPr>
              <w:t>Companies that are relevant as sources and</w:t>
            </w:r>
          </w:p>
        </w:tc>
      </w:tr>
      <w:tr>
        <w:trPr>
          <w:trHeight w:val="189"/>
        </w:trPr>
        <w:tc>
          <w:tcPr>
            <w:tcW w:w="3480" w:type="dxa"/>
            <w:vAlign w:val="bottom"/>
          </w:tcPr>
          <w:p>
            <w:pPr>
              <w:jc w:val="center"/>
              <w:ind w:right="159"/>
              <w:spacing w:after="0"/>
              <w:rPr>
                <w:sz w:val="20"/>
                <w:szCs w:val="20"/>
                <w:color w:val="auto"/>
              </w:rPr>
            </w:pPr>
            <w:r>
              <w:rPr>
                <w:rFonts w:ascii="Arial" w:cs="Arial" w:eastAsia="Arial" w:hAnsi="Arial"/>
                <w:sz w:val="16"/>
                <w:szCs w:val="16"/>
                <w:color w:val="auto"/>
              </w:rPr>
              <w:t>Components and Equipment, Building</w:t>
            </w:r>
          </w:p>
        </w:tc>
        <w:tc>
          <w:tcPr>
            <w:tcW w:w="3680" w:type="dxa"/>
            <w:vAlign w:val="bottom"/>
          </w:tcPr>
          <w:p>
            <w:pPr>
              <w:jc w:val="center"/>
              <w:spacing w:after="0"/>
              <w:rPr>
                <w:sz w:val="20"/>
                <w:szCs w:val="20"/>
                <w:color w:val="auto"/>
              </w:rPr>
            </w:pPr>
            <w:r>
              <w:rPr>
                <w:rFonts w:ascii="Arial" w:cs="Arial" w:eastAsia="Arial" w:hAnsi="Arial"/>
                <w:sz w:val="16"/>
                <w:szCs w:val="16"/>
                <w:color w:val="auto"/>
              </w:rPr>
              <w:t>from 0.5x to 3.0x Hubbell’s revenues.</w:t>
            </w:r>
          </w:p>
        </w:tc>
        <w:tc>
          <w:tcPr>
            <w:tcW w:w="4080" w:type="dxa"/>
            <w:vAlign w:val="bottom"/>
          </w:tcPr>
          <w:p>
            <w:pPr>
              <w:jc w:val="center"/>
              <w:ind w:left="119"/>
              <w:spacing w:after="0"/>
              <w:rPr>
                <w:sz w:val="20"/>
                <w:szCs w:val="20"/>
                <w:color w:val="auto"/>
              </w:rPr>
            </w:pPr>
            <w:r>
              <w:rPr>
                <w:rFonts w:ascii="Arial" w:cs="Arial" w:eastAsia="Arial" w:hAnsi="Arial"/>
                <w:sz w:val="16"/>
                <w:szCs w:val="16"/>
                <w:color w:val="auto"/>
              </w:rPr>
              <w:t>destinations of talent in critical sales,</w:t>
            </w:r>
          </w:p>
        </w:tc>
      </w:tr>
      <w:tr>
        <w:trPr>
          <w:trHeight w:val="189"/>
        </w:trPr>
        <w:tc>
          <w:tcPr>
            <w:tcW w:w="3480" w:type="dxa"/>
            <w:vAlign w:val="bottom"/>
          </w:tcPr>
          <w:p>
            <w:pPr>
              <w:jc w:val="center"/>
              <w:ind w:right="139"/>
              <w:spacing w:after="0"/>
              <w:rPr>
                <w:sz w:val="20"/>
                <w:szCs w:val="20"/>
                <w:color w:val="auto"/>
              </w:rPr>
            </w:pPr>
            <w:r>
              <w:rPr>
                <w:rFonts w:ascii="Arial" w:cs="Arial" w:eastAsia="Arial" w:hAnsi="Arial"/>
                <w:sz w:val="16"/>
                <w:szCs w:val="16"/>
                <w:color w:val="auto"/>
              </w:rPr>
              <w:t>Products, and Industrial Machinery</w:t>
            </w:r>
          </w:p>
        </w:tc>
        <w:tc>
          <w:tcPr>
            <w:tcW w:w="3680" w:type="dxa"/>
            <w:vAlign w:val="bottom"/>
          </w:tcPr>
          <w:p>
            <w:pPr>
              <w:jc w:val="center"/>
              <w:spacing w:after="0"/>
              <w:rPr>
                <w:sz w:val="20"/>
                <w:szCs w:val="20"/>
                <w:color w:val="auto"/>
              </w:rPr>
            </w:pPr>
            <w:r>
              <w:rPr>
                <w:rFonts w:ascii="Arial" w:cs="Arial" w:eastAsia="Arial" w:hAnsi="Arial"/>
                <w:sz w:val="16"/>
                <w:szCs w:val="16"/>
                <w:color w:val="auto"/>
              </w:rPr>
              <w:t>Hubbell’s revenues approximate the</w:t>
            </w:r>
          </w:p>
        </w:tc>
        <w:tc>
          <w:tcPr>
            <w:tcW w:w="4080" w:type="dxa"/>
            <w:vAlign w:val="bottom"/>
          </w:tcPr>
          <w:p>
            <w:pPr>
              <w:jc w:val="center"/>
              <w:ind w:left="119"/>
              <w:spacing w:after="0"/>
              <w:rPr>
                <w:sz w:val="20"/>
                <w:szCs w:val="20"/>
                <w:color w:val="auto"/>
              </w:rPr>
            </w:pPr>
            <w:r>
              <w:rPr>
                <w:rFonts w:ascii="Arial" w:cs="Arial" w:eastAsia="Arial" w:hAnsi="Arial"/>
                <w:sz w:val="16"/>
                <w:szCs w:val="16"/>
                <w:color w:val="auto"/>
              </w:rPr>
              <w:t>engineering, and other functional talent areas</w:t>
            </w:r>
          </w:p>
        </w:tc>
      </w:tr>
      <w:tr>
        <w:trPr>
          <w:trHeight w:val="215"/>
        </w:trPr>
        <w:tc>
          <w:tcPr>
            <w:tcW w:w="3480" w:type="dxa"/>
            <w:vAlign w:val="bottom"/>
          </w:tcPr>
          <w:p>
            <w:pPr>
              <w:jc w:val="center"/>
              <w:ind w:right="139"/>
              <w:spacing w:after="0"/>
              <w:rPr>
                <w:sz w:val="20"/>
                <w:szCs w:val="20"/>
                <w:color w:val="auto"/>
              </w:rPr>
            </w:pPr>
            <w:r>
              <w:rPr>
                <w:rFonts w:ascii="Arial" w:cs="Arial" w:eastAsia="Arial" w:hAnsi="Arial"/>
                <w:sz w:val="16"/>
                <w:szCs w:val="16"/>
                <w:color w:val="auto"/>
              </w:rPr>
              <w:t>industries.</w:t>
            </w:r>
          </w:p>
        </w:tc>
        <w:tc>
          <w:tcPr>
            <w:tcW w:w="3680" w:type="dxa"/>
            <w:vAlign w:val="bottom"/>
          </w:tcPr>
          <w:p>
            <w:pPr>
              <w:jc w:val="center"/>
              <w:spacing w:after="0"/>
              <w:rPr>
                <w:sz w:val="20"/>
                <w:szCs w:val="20"/>
                <w:color w:val="auto"/>
              </w:rPr>
            </w:pPr>
            <w:r>
              <w:rPr>
                <w:rFonts w:ascii="Arial" w:cs="Arial" w:eastAsia="Arial" w:hAnsi="Arial"/>
                <w:sz w:val="16"/>
                <w:szCs w:val="16"/>
                <w:color w:val="auto"/>
              </w:rPr>
              <w:t>median of the Peer Group.</w:t>
            </w:r>
          </w:p>
        </w:tc>
        <w:tc>
          <w:tcPr>
            <w:tcW w:w="4080" w:type="dxa"/>
            <w:vAlign w:val="bottom"/>
          </w:tcPr>
          <w:p>
            <w:pPr>
              <w:jc w:val="center"/>
              <w:ind w:left="119"/>
              <w:spacing w:after="0"/>
              <w:rPr>
                <w:sz w:val="20"/>
                <w:szCs w:val="20"/>
                <w:color w:val="auto"/>
              </w:rPr>
            </w:pPr>
            <w:r>
              <w:rPr>
                <w:rFonts w:ascii="Arial" w:cs="Arial" w:eastAsia="Arial" w:hAnsi="Arial"/>
                <w:sz w:val="16"/>
                <w:szCs w:val="16"/>
                <w:color w:val="auto"/>
              </w:rPr>
              <w:t>that drive our business.</w:t>
            </w:r>
          </w:p>
        </w:tc>
      </w:tr>
      <w:tr>
        <w:trPr>
          <w:trHeight w:val="400"/>
        </w:trPr>
        <w:tc>
          <w:tcPr>
            <w:tcW w:w="3480" w:type="dxa"/>
            <w:vAlign w:val="bottom"/>
          </w:tcPr>
          <w:p>
            <w:pPr>
              <w:spacing w:after="0"/>
              <w:rPr>
                <w:sz w:val="20"/>
                <w:szCs w:val="20"/>
                <w:color w:val="auto"/>
              </w:rPr>
            </w:pPr>
            <w:r>
              <w:rPr>
                <w:rFonts w:ascii="Arial" w:cs="Arial" w:eastAsia="Arial" w:hAnsi="Arial"/>
                <w:sz w:val="16"/>
                <w:szCs w:val="16"/>
                <w:b w:val="1"/>
                <w:bCs w:val="1"/>
                <w:color w:val="auto"/>
              </w:rPr>
              <w:t xml:space="preserve">44  </w:t>
            </w:r>
            <w:r>
              <w:rPr>
                <w:rFonts w:ascii="Arial" w:cs="Arial" w:eastAsia="Arial" w:hAnsi="Arial"/>
                <w:sz w:val="16"/>
                <w:szCs w:val="16"/>
                <w:b w:val="1"/>
                <w:bCs w:val="1"/>
                <w:color w:val="FFE933"/>
              </w:rPr>
              <w:t>|</w:t>
            </w:r>
            <w:r>
              <w:rPr>
                <w:rFonts w:ascii="Arial" w:cs="Arial" w:eastAsia="Arial" w:hAnsi="Arial"/>
                <w:sz w:val="16"/>
                <w:szCs w:val="16"/>
                <w:b w:val="1"/>
                <w:bCs w:val="1"/>
                <w:color w:val="auto"/>
              </w:rPr>
              <w:t xml:space="preserve"> HUBBELL INCORPORATED</w:t>
            </w:r>
          </w:p>
        </w:tc>
        <w:tc>
          <w:tcPr>
            <w:tcW w:w="368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258"/>
        </w:trPr>
        <w:tc>
          <w:tcPr>
            <w:tcW w:w="3480" w:type="dxa"/>
            <w:vAlign w:val="bottom"/>
            <w:tcBorders>
              <w:bottom w:val="single" w:sz="8" w:color="C0C0C0"/>
            </w:tcBorders>
          </w:tcPr>
          <w:p>
            <w:pPr>
              <w:spacing w:after="0"/>
              <w:rPr>
                <w:sz w:val="22"/>
                <w:szCs w:val="22"/>
                <w:color w:val="auto"/>
              </w:rPr>
            </w:pPr>
          </w:p>
        </w:tc>
        <w:tc>
          <w:tcPr>
            <w:tcW w:w="3680" w:type="dxa"/>
            <w:vAlign w:val="bottom"/>
            <w:tcBorders>
              <w:bottom w:val="single" w:sz="8" w:color="C0C0C0"/>
            </w:tcBorders>
          </w:tcPr>
          <w:p>
            <w:pPr>
              <w:spacing w:after="0"/>
              <w:rPr>
                <w:sz w:val="22"/>
                <w:szCs w:val="22"/>
                <w:color w:val="auto"/>
              </w:rPr>
            </w:pPr>
          </w:p>
        </w:tc>
        <w:tc>
          <w:tcPr>
            <w:tcW w:w="4080" w:type="dxa"/>
            <w:vAlign w:val="bottom"/>
            <w:tcBorders>
              <w:bottom w:val="single" w:sz="8" w:color="C0C0C0"/>
            </w:tcBorders>
          </w:tcPr>
          <w:p>
            <w:pPr>
              <w:spacing w:after="0"/>
              <w:rPr>
                <w:sz w:val="22"/>
                <w:szCs w:val="22"/>
                <w:color w:val="auto"/>
              </w:rPr>
            </w:pPr>
          </w:p>
        </w:tc>
      </w:tr>
    </w:tbl>
    <w:p>
      <w:pPr>
        <w:sectPr>
          <w:pgSz w:w="11900" w:h="16838" w:orient="portrait"/>
          <w:cols w:equalWidth="0" w:num="1">
            <w:col w:w="11240"/>
          </w:cols>
          <w:pgMar w:left="320" w:top="238"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6" w:lineRule="exact"/>
        <w:rPr>
          <w:sz w:val="20"/>
          <w:szCs w:val="20"/>
          <w:color w:val="auto"/>
        </w:rPr>
      </w:pPr>
    </w:p>
    <w:p>
      <w:pPr>
        <w:spacing w:after="0"/>
        <w:rPr>
          <w:sz w:val="20"/>
          <w:szCs w:val="20"/>
          <w:color w:val="auto"/>
        </w:rPr>
      </w:pPr>
      <w:r>
        <w:rPr>
          <w:sz w:val="1"/>
          <w:szCs w:val="1"/>
          <w:color w:val="auto"/>
        </w:rPr>
        <w:drawing>
          <wp:inline distT="0" distB="0" distL="0" distR="0">
            <wp:extent cx="231140" cy="222885"/>
            <wp:effectExtent l="0" t="0" r="0"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31140" cy="222885"/>
                    </a:xfrm>
                    <a:prstGeom prst="rect">
                      <a:avLst/>
                    </a:prstGeom>
                    <a:noFill/>
                    <a:ln>
                      <a:noFill/>
                    </a:ln>
                  </pic:spPr>
                </pic:pic>
              </a:graphicData>
            </a:graphic>
          </wp:inline>
        </w:drawing>
      </w:r>
      <w:r>
        <w:rPr>
          <w:rFonts w:ascii="Arial" w:cs="Arial" w:eastAsia="Arial" w:hAnsi="Arial"/>
          <w:sz w:val="29"/>
          <w:szCs w:val="29"/>
          <w:b w:val="1"/>
          <w:bCs w:val="1"/>
          <w:color w:val="auto"/>
        </w:rPr>
        <w:t xml:space="preserve"> Changes to the Compensation Peer Group</w:t>
      </w:r>
    </w:p>
    <w:p>
      <w:pPr>
        <w:spacing w:after="0" w:line="16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Compensation Committee reviews the Peer Group annually and in 2024 decided to revise the Peer Group for 2025 by removing AGCO Corporation, Crane Company, Curtis-Wright Corporation, and Woodward, Inc. from the Peer Group due to limited comparability to Hubbell in terms of business fit and size. The Compensation Committee then approved adding two new companies: Emerson Electric Co. and Illinois Tool Works Inc. to the Peer Group for 2025, with each company identified as being comparable to Hubbell based on criteria considered and to further ensure that Hubbell continues to approximate the Peer Group median in terms of revenue size.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Borders>
              <w:top w:val="single" w:sz="8" w:color="BCBEC0"/>
              <w:bottom w:val="single" w:sz="8" w:color="BCBEC0"/>
            </w:tcBorders>
          </w:tcPr>
          <w:p>
            <w:pPr>
              <w:spacing w:after="0"/>
              <w:rPr>
                <w:sz w:val="20"/>
                <w:szCs w:val="20"/>
                <w:color w:val="auto"/>
              </w:rPr>
            </w:pPr>
            <w:r>
              <w:rPr>
                <w:rFonts w:ascii="Arial" w:cs="Arial" w:eastAsia="Arial" w:hAnsi="Arial"/>
                <w:sz w:val="16"/>
                <w:szCs w:val="16"/>
                <w:color w:val="auto"/>
              </w:rPr>
              <w:t>Acuity Brands, Inc.</w:t>
            </w:r>
          </w:p>
        </w:tc>
        <w:tc>
          <w:tcPr>
            <w:tcW w:w="2800" w:type="dxa"/>
            <w:vAlign w:val="bottom"/>
            <w:tcBorders>
              <w:top w:val="single" w:sz="8" w:color="BCBEC0"/>
              <w:bottom w:val="single" w:sz="8" w:color="BCBEC0"/>
            </w:tcBorders>
          </w:tcPr>
          <w:p>
            <w:pPr>
              <w:ind w:left="220"/>
              <w:spacing w:after="0"/>
              <w:rPr>
                <w:sz w:val="20"/>
                <w:szCs w:val="20"/>
                <w:color w:val="auto"/>
              </w:rPr>
            </w:pPr>
            <w:r>
              <w:rPr>
                <w:rFonts w:ascii="Arial" w:cs="Arial" w:eastAsia="Arial" w:hAnsi="Arial"/>
                <w:sz w:val="16"/>
                <w:szCs w:val="16"/>
                <w:color w:val="auto"/>
              </w:rPr>
              <w:t>EnerSys</w:t>
            </w:r>
          </w:p>
        </w:tc>
        <w:tc>
          <w:tcPr>
            <w:tcW w:w="2700" w:type="dxa"/>
            <w:vAlign w:val="bottom"/>
            <w:tcBorders>
              <w:top w:val="single" w:sz="8" w:color="BCBEC0"/>
              <w:bottom w:val="single" w:sz="8" w:color="BCBEC0"/>
            </w:tcBorders>
          </w:tcPr>
          <w:p>
            <w:pPr>
              <w:ind w:left="240"/>
              <w:spacing w:after="0"/>
              <w:rPr>
                <w:sz w:val="20"/>
                <w:szCs w:val="20"/>
                <w:color w:val="auto"/>
              </w:rPr>
            </w:pPr>
            <w:r>
              <w:rPr>
                <w:rFonts w:ascii="Arial" w:cs="Arial" w:eastAsia="Arial" w:hAnsi="Arial"/>
                <w:sz w:val="16"/>
                <w:szCs w:val="16"/>
                <w:color w:val="auto"/>
              </w:rPr>
              <w:t>Ingersoll Rand Inc.</w:t>
            </w:r>
          </w:p>
        </w:tc>
        <w:tc>
          <w:tcPr>
            <w:tcW w:w="3140" w:type="dxa"/>
            <w:vAlign w:val="bottom"/>
            <w:tcBorders>
              <w:top w:val="single" w:sz="8" w:color="BCBEC0"/>
              <w:bottom w:val="single" w:sz="8" w:color="BCBEC0"/>
            </w:tcBorders>
          </w:tcPr>
          <w:p>
            <w:pPr>
              <w:ind w:left="340"/>
              <w:spacing w:after="0"/>
              <w:rPr>
                <w:sz w:val="20"/>
                <w:szCs w:val="20"/>
                <w:color w:val="auto"/>
              </w:rPr>
            </w:pPr>
            <w:r>
              <w:rPr>
                <w:rFonts w:ascii="Arial" w:cs="Arial" w:eastAsia="Arial" w:hAnsi="Arial"/>
                <w:sz w:val="16"/>
                <w:szCs w:val="16"/>
                <w:color w:val="auto"/>
              </w:rPr>
              <w:t>Rockwell Automation, Inc.</w:t>
            </w:r>
          </w:p>
        </w:tc>
      </w:tr>
      <w:tr>
        <w:trPr>
          <w:trHeight w:val="183"/>
        </w:trPr>
        <w:tc>
          <w:tcPr>
            <w:tcW w:w="2600" w:type="dxa"/>
            <w:vAlign w:val="bottom"/>
            <w:tcBorders>
              <w:bottom w:val="single" w:sz="8" w:color="BCBEC0"/>
            </w:tcBorders>
          </w:tcPr>
          <w:p>
            <w:pPr>
              <w:spacing w:after="0" w:line="183" w:lineRule="exact"/>
              <w:rPr>
                <w:sz w:val="20"/>
                <w:szCs w:val="20"/>
                <w:color w:val="auto"/>
              </w:rPr>
            </w:pPr>
            <w:r>
              <w:rPr>
                <w:rFonts w:ascii="Arial" w:cs="Arial" w:eastAsia="Arial" w:hAnsi="Arial"/>
                <w:sz w:val="16"/>
                <w:szCs w:val="16"/>
                <w:color w:val="auto"/>
              </w:rPr>
              <w:t>AMETEK, Inc.</w:t>
            </w:r>
          </w:p>
        </w:tc>
        <w:tc>
          <w:tcPr>
            <w:tcW w:w="2800" w:type="dxa"/>
            <w:vAlign w:val="bottom"/>
            <w:tcBorders>
              <w:bottom w:val="single" w:sz="8" w:color="BCBEC0"/>
            </w:tcBorders>
          </w:tcPr>
          <w:p>
            <w:pPr>
              <w:ind w:left="220"/>
              <w:spacing w:after="0" w:line="183" w:lineRule="exact"/>
              <w:rPr>
                <w:sz w:val="20"/>
                <w:szCs w:val="20"/>
                <w:color w:val="auto"/>
              </w:rPr>
            </w:pPr>
            <w:r>
              <w:rPr>
                <w:rFonts w:ascii="Arial" w:cs="Arial" w:eastAsia="Arial" w:hAnsi="Arial"/>
                <w:sz w:val="16"/>
                <w:szCs w:val="16"/>
                <w:color w:val="auto"/>
              </w:rPr>
              <w:t>Fortive Corporation</w:t>
            </w:r>
          </w:p>
        </w:tc>
        <w:tc>
          <w:tcPr>
            <w:tcW w:w="2700" w:type="dxa"/>
            <w:vAlign w:val="bottom"/>
            <w:tcBorders>
              <w:bottom w:val="single" w:sz="8" w:color="BCBEC0"/>
            </w:tcBorders>
          </w:tcPr>
          <w:p>
            <w:pPr>
              <w:ind w:left="240"/>
              <w:spacing w:after="0" w:line="183" w:lineRule="exact"/>
              <w:rPr>
                <w:sz w:val="20"/>
                <w:szCs w:val="20"/>
                <w:color w:val="auto"/>
              </w:rPr>
            </w:pPr>
            <w:r>
              <w:rPr>
                <w:rFonts w:ascii="Arial" w:cs="Arial" w:eastAsia="Arial" w:hAnsi="Arial"/>
                <w:sz w:val="16"/>
                <w:szCs w:val="16"/>
                <w:color w:val="auto"/>
              </w:rPr>
              <w:t>ITT Inc.</w:t>
            </w:r>
          </w:p>
        </w:tc>
        <w:tc>
          <w:tcPr>
            <w:tcW w:w="3140" w:type="dxa"/>
            <w:vAlign w:val="bottom"/>
            <w:tcBorders>
              <w:bottom w:val="single" w:sz="8" w:color="BCBEC0"/>
            </w:tcBorders>
          </w:tcPr>
          <w:p>
            <w:pPr>
              <w:ind w:left="340"/>
              <w:spacing w:after="0" w:line="183" w:lineRule="exact"/>
              <w:rPr>
                <w:sz w:val="20"/>
                <w:szCs w:val="20"/>
                <w:color w:val="auto"/>
              </w:rPr>
            </w:pPr>
            <w:r>
              <w:rPr>
                <w:rFonts w:ascii="Arial" w:cs="Arial" w:eastAsia="Arial" w:hAnsi="Arial"/>
                <w:sz w:val="16"/>
                <w:szCs w:val="16"/>
                <w:color w:val="auto"/>
              </w:rPr>
              <w:t>Sensata Technologies Holding plc</w:t>
            </w:r>
          </w:p>
        </w:tc>
      </w:tr>
      <w:tr>
        <w:trPr>
          <w:trHeight w:val="183"/>
        </w:trPr>
        <w:tc>
          <w:tcPr>
            <w:tcW w:w="2600" w:type="dxa"/>
            <w:vAlign w:val="bottom"/>
            <w:tcBorders>
              <w:bottom w:val="single" w:sz="8" w:color="BCBEC0"/>
            </w:tcBorders>
          </w:tcPr>
          <w:p>
            <w:pPr>
              <w:spacing w:after="0" w:line="183" w:lineRule="exact"/>
              <w:rPr>
                <w:sz w:val="20"/>
                <w:szCs w:val="20"/>
                <w:color w:val="auto"/>
              </w:rPr>
            </w:pPr>
            <w:r>
              <w:rPr>
                <w:rFonts w:ascii="Arial" w:cs="Arial" w:eastAsia="Arial" w:hAnsi="Arial"/>
                <w:sz w:val="16"/>
                <w:szCs w:val="16"/>
                <w:color w:val="auto"/>
              </w:rPr>
              <w:t>Carlisle Companies Incorporated</w:t>
            </w:r>
          </w:p>
        </w:tc>
        <w:tc>
          <w:tcPr>
            <w:tcW w:w="2800" w:type="dxa"/>
            <w:vAlign w:val="bottom"/>
            <w:tcBorders>
              <w:bottom w:val="single" w:sz="8" w:color="BCBEC0"/>
            </w:tcBorders>
          </w:tcPr>
          <w:p>
            <w:pPr>
              <w:ind w:left="220"/>
              <w:spacing w:after="0" w:line="183" w:lineRule="exact"/>
              <w:rPr>
                <w:sz w:val="20"/>
                <w:szCs w:val="20"/>
                <w:color w:val="auto"/>
              </w:rPr>
            </w:pPr>
            <w:r>
              <w:rPr>
                <w:rFonts w:ascii="Arial" w:cs="Arial" w:eastAsia="Arial" w:hAnsi="Arial"/>
                <w:sz w:val="16"/>
                <w:szCs w:val="16"/>
                <w:color w:val="auto"/>
              </w:rPr>
              <w:t>Fortune Brands Innovations, Inc.</w:t>
            </w:r>
          </w:p>
        </w:tc>
        <w:tc>
          <w:tcPr>
            <w:tcW w:w="2700" w:type="dxa"/>
            <w:vAlign w:val="bottom"/>
            <w:tcBorders>
              <w:bottom w:val="single" w:sz="8" w:color="BCBEC0"/>
            </w:tcBorders>
          </w:tcPr>
          <w:p>
            <w:pPr>
              <w:ind w:left="240"/>
              <w:spacing w:after="0" w:line="183" w:lineRule="exact"/>
              <w:rPr>
                <w:sz w:val="20"/>
                <w:szCs w:val="20"/>
                <w:color w:val="auto"/>
              </w:rPr>
            </w:pPr>
            <w:r>
              <w:rPr>
                <w:rFonts w:ascii="Arial" w:cs="Arial" w:eastAsia="Arial" w:hAnsi="Arial"/>
                <w:sz w:val="16"/>
                <w:szCs w:val="16"/>
                <w:color w:val="auto"/>
              </w:rPr>
              <w:t>Lennox International Inc.</w:t>
            </w:r>
          </w:p>
        </w:tc>
        <w:tc>
          <w:tcPr>
            <w:tcW w:w="3140" w:type="dxa"/>
            <w:vAlign w:val="bottom"/>
            <w:tcBorders>
              <w:bottom w:val="single" w:sz="8" w:color="BCBEC0"/>
            </w:tcBorders>
          </w:tcPr>
          <w:p>
            <w:pPr>
              <w:ind w:left="340"/>
              <w:spacing w:after="0" w:line="183" w:lineRule="exact"/>
              <w:rPr>
                <w:sz w:val="20"/>
                <w:szCs w:val="20"/>
                <w:color w:val="auto"/>
              </w:rPr>
            </w:pPr>
            <w:r>
              <w:rPr>
                <w:rFonts w:ascii="Arial" w:cs="Arial" w:eastAsia="Arial" w:hAnsi="Arial"/>
                <w:sz w:val="16"/>
                <w:szCs w:val="16"/>
                <w:color w:val="auto"/>
              </w:rPr>
              <w:t>Snap-on Incorporated</w:t>
            </w:r>
          </w:p>
        </w:tc>
      </w:tr>
      <w:tr>
        <w:trPr>
          <w:trHeight w:val="183"/>
        </w:trPr>
        <w:tc>
          <w:tcPr>
            <w:tcW w:w="2600" w:type="dxa"/>
            <w:vAlign w:val="bottom"/>
            <w:tcBorders>
              <w:bottom w:val="single" w:sz="8" w:color="BCBEC0"/>
            </w:tcBorders>
          </w:tcPr>
          <w:p>
            <w:pPr>
              <w:spacing w:after="0" w:line="183" w:lineRule="exact"/>
              <w:rPr>
                <w:sz w:val="20"/>
                <w:szCs w:val="20"/>
                <w:color w:val="auto"/>
              </w:rPr>
            </w:pPr>
            <w:r>
              <w:rPr>
                <w:rFonts w:ascii="Arial" w:cs="Arial" w:eastAsia="Arial" w:hAnsi="Arial"/>
                <w:sz w:val="16"/>
                <w:szCs w:val="16"/>
                <w:color w:val="auto"/>
              </w:rPr>
              <w:t>Donaldson Company, Inc.</w:t>
            </w:r>
          </w:p>
        </w:tc>
        <w:tc>
          <w:tcPr>
            <w:tcW w:w="2800" w:type="dxa"/>
            <w:vAlign w:val="bottom"/>
            <w:tcBorders>
              <w:bottom w:val="single" w:sz="8" w:color="BCBEC0"/>
            </w:tcBorders>
          </w:tcPr>
          <w:p>
            <w:pPr>
              <w:ind w:left="220"/>
              <w:spacing w:after="0" w:line="183" w:lineRule="exact"/>
              <w:rPr>
                <w:sz w:val="20"/>
                <w:szCs w:val="20"/>
                <w:color w:val="auto"/>
              </w:rPr>
            </w:pPr>
            <w:r>
              <w:rPr>
                <w:rFonts w:ascii="Arial" w:cs="Arial" w:eastAsia="Arial" w:hAnsi="Arial"/>
                <w:sz w:val="16"/>
                <w:szCs w:val="16"/>
                <w:color w:val="auto"/>
              </w:rPr>
              <w:t>IDEX Corporation</w:t>
            </w:r>
          </w:p>
        </w:tc>
        <w:tc>
          <w:tcPr>
            <w:tcW w:w="2700" w:type="dxa"/>
            <w:vAlign w:val="bottom"/>
            <w:tcBorders>
              <w:bottom w:val="single" w:sz="8" w:color="BCBEC0"/>
            </w:tcBorders>
          </w:tcPr>
          <w:p>
            <w:pPr>
              <w:ind w:left="240"/>
              <w:spacing w:after="0" w:line="183" w:lineRule="exact"/>
              <w:rPr>
                <w:sz w:val="20"/>
                <w:szCs w:val="20"/>
                <w:color w:val="auto"/>
              </w:rPr>
            </w:pPr>
            <w:r>
              <w:rPr>
                <w:rFonts w:ascii="Arial" w:cs="Arial" w:eastAsia="Arial" w:hAnsi="Arial"/>
                <w:sz w:val="16"/>
                <w:szCs w:val="16"/>
                <w:color w:val="auto"/>
              </w:rPr>
              <w:t>Lincoln Electric Holdings, Inc.</w:t>
            </w:r>
          </w:p>
        </w:tc>
        <w:tc>
          <w:tcPr>
            <w:tcW w:w="3140" w:type="dxa"/>
            <w:vAlign w:val="bottom"/>
            <w:tcBorders>
              <w:bottom w:val="single" w:sz="8" w:color="BCBEC0"/>
            </w:tcBorders>
          </w:tcPr>
          <w:p>
            <w:pPr>
              <w:ind w:left="340"/>
              <w:spacing w:after="0" w:line="183" w:lineRule="exact"/>
              <w:rPr>
                <w:sz w:val="20"/>
                <w:szCs w:val="20"/>
                <w:color w:val="auto"/>
              </w:rPr>
            </w:pPr>
            <w:r>
              <w:rPr>
                <w:rFonts w:ascii="Arial" w:cs="Arial" w:eastAsia="Arial" w:hAnsi="Arial"/>
                <w:sz w:val="16"/>
                <w:szCs w:val="16"/>
                <w:color w:val="auto"/>
              </w:rPr>
              <w:t>Vertiv Holdings Co.</w:t>
            </w:r>
          </w:p>
        </w:tc>
      </w:tr>
      <w:tr>
        <w:trPr>
          <w:trHeight w:val="183"/>
        </w:trPr>
        <w:tc>
          <w:tcPr>
            <w:tcW w:w="2600" w:type="dxa"/>
            <w:vAlign w:val="bottom"/>
            <w:tcBorders>
              <w:bottom w:val="single" w:sz="8" w:color="BCBEC0"/>
            </w:tcBorders>
          </w:tcPr>
          <w:p>
            <w:pPr>
              <w:spacing w:after="0" w:line="183" w:lineRule="exact"/>
              <w:rPr>
                <w:sz w:val="20"/>
                <w:szCs w:val="20"/>
                <w:color w:val="auto"/>
              </w:rPr>
            </w:pPr>
            <w:r>
              <w:rPr>
                <w:rFonts w:ascii="Arial" w:cs="Arial" w:eastAsia="Arial" w:hAnsi="Arial"/>
                <w:sz w:val="16"/>
                <w:szCs w:val="16"/>
                <w:color w:val="auto"/>
              </w:rPr>
              <w:t>Dover Corporation</w:t>
            </w:r>
          </w:p>
        </w:tc>
        <w:tc>
          <w:tcPr>
            <w:tcW w:w="2800" w:type="dxa"/>
            <w:vAlign w:val="bottom"/>
            <w:tcBorders>
              <w:bottom w:val="single" w:sz="8" w:color="BCBEC0"/>
            </w:tcBorders>
          </w:tcPr>
          <w:p>
            <w:pPr>
              <w:ind w:left="220"/>
              <w:spacing w:after="0" w:line="183" w:lineRule="exact"/>
              <w:rPr>
                <w:sz w:val="20"/>
                <w:szCs w:val="20"/>
                <w:color w:val="auto"/>
              </w:rPr>
            </w:pPr>
            <w:r>
              <w:rPr>
                <w:rFonts w:ascii="Arial" w:cs="Arial" w:eastAsia="Arial" w:hAnsi="Arial"/>
                <w:sz w:val="16"/>
                <w:szCs w:val="16"/>
                <w:color w:val="auto"/>
              </w:rPr>
              <w:t>Illinois Tool Works Inc.</w:t>
            </w:r>
          </w:p>
        </w:tc>
        <w:tc>
          <w:tcPr>
            <w:tcW w:w="2700" w:type="dxa"/>
            <w:vAlign w:val="bottom"/>
            <w:tcBorders>
              <w:bottom w:val="single" w:sz="8" w:color="BCBEC0"/>
            </w:tcBorders>
          </w:tcPr>
          <w:p>
            <w:pPr>
              <w:ind w:left="240"/>
              <w:spacing w:after="0" w:line="183" w:lineRule="exact"/>
              <w:rPr>
                <w:sz w:val="20"/>
                <w:szCs w:val="20"/>
                <w:color w:val="auto"/>
              </w:rPr>
            </w:pPr>
            <w:r>
              <w:rPr>
                <w:rFonts w:ascii="Arial" w:cs="Arial" w:eastAsia="Arial" w:hAnsi="Arial"/>
                <w:sz w:val="16"/>
                <w:szCs w:val="16"/>
                <w:color w:val="auto"/>
              </w:rPr>
              <w:t>Regal Rexnord Corporation</w:t>
            </w:r>
          </w:p>
        </w:tc>
        <w:tc>
          <w:tcPr>
            <w:tcW w:w="3140" w:type="dxa"/>
            <w:vAlign w:val="bottom"/>
            <w:tcBorders>
              <w:bottom w:val="single" w:sz="8" w:color="BCBEC0"/>
            </w:tcBorders>
          </w:tcPr>
          <w:p>
            <w:pPr>
              <w:ind w:left="340"/>
              <w:spacing w:after="0" w:line="183" w:lineRule="exact"/>
              <w:rPr>
                <w:sz w:val="20"/>
                <w:szCs w:val="20"/>
                <w:color w:val="auto"/>
              </w:rPr>
            </w:pPr>
            <w:r>
              <w:rPr>
                <w:rFonts w:ascii="Arial" w:cs="Arial" w:eastAsia="Arial" w:hAnsi="Arial"/>
                <w:sz w:val="16"/>
                <w:szCs w:val="16"/>
                <w:color w:val="auto"/>
              </w:rPr>
              <w:t>Xylem, Inc.</w:t>
            </w:r>
          </w:p>
        </w:tc>
      </w:tr>
      <w:tr>
        <w:trPr>
          <w:trHeight w:val="183"/>
        </w:trPr>
        <w:tc>
          <w:tcPr>
            <w:tcW w:w="2600" w:type="dxa"/>
            <w:vAlign w:val="bottom"/>
            <w:tcBorders>
              <w:bottom w:val="single" w:sz="8" w:color="BCBEC0"/>
            </w:tcBorders>
          </w:tcPr>
          <w:p>
            <w:pPr>
              <w:spacing w:after="0" w:line="183" w:lineRule="exact"/>
              <w:rPr>
                <w:sz w:val="20"/>
                <w:szCs w:val="20"/>
                <w:color w:val="auto"/>
              </w:rPr>
            </w:pPr>
            <w:r>
              <w:rPr>
                <w:rFonts w:ascii="Arial" w:cs="Arial" w:eastAsia="Arial" w:hAnsi="Arial"/>
                <w:sz w:val="16"/>
                <w:szCs w:val="16"/>
                <w:color w:val="auto"/>
              </w:rPr>
              <w:t>Emerson Electric Co.</w:t>
            </w:r>
          </w:p>
        </w:tc>
        <w:tc>
          <w:tcPr>
            <w:tcW w:w="2800" w:type="dxa"/>
            <w:vAlign w:val="bottom"/>
            <w:tcBorders>
              <w:bottom w:val="single" w:sz="8" w:color="BCBEC0"/>
            </w:tcBorders>
          </w:tcPr>
          <w:p>
            <w:pPr>
              <w:spacing w:after="0"/>
              <w:rPr>
                <w:sz w:val="15"/>
                <w:szCs w:val="15"/>
                <w:color w:val="auto"/>
              </w:rPr>
            </w:pPr>
          </w:p>
        </w:tc>
        <w:tc>
          <w:tcPr>
            <w:tcW w:w="2700" w:type="dxa"/>
            <w:vAlign w:val="bottom"/>
            <w:tcBorders>
              <w:bottom w:val="single" w:sz="8" w:color="BCBEC0"/>
            </w:tcBorders>
          </w:tcPr>
          <w:p>
            <w:pPr>
              <w:spacing w:after="0"/>
              <w:rPr>
                <w:sz w:val="15"/>
                <w:szCs w:val="15"/>
                <w:color w:val="auto"/>
              </w:rPr>
            </w:pPr>
          </w:p>
        </w:tc>
        <w:tc>
          <w:tcPr>
            <w:tcW w:w="3140" w:type="dxa"/>
            <w:vAlign w:val="bottom"/>
            <w:tcBorders>
              <w:bottom w:val="single" w:sz="8" w:color="BCBEC0"/>
            </w:tcBorders>
          </w:tcPr>
          <w:p>
            <w:pPr>
              <w:spacing w:after="0"/>
              <w:rPr>
                <w:sz w:val="15"/>
                <w:szCs w:val="15"/>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2025 Compensation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3511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9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The Committee targets the 50th percentile of the Peer Group data for each compensation element.</w:t>
      </w:r>
    </w:p>
    <w:p>
      <w:pPr>
        <w:spacing w:after="0" w:line="348" w:lineRule="exact"/>
        <w:rPr>
          <w:sz w:val="20"/>
          <w:szCs w:val="20"/>
          <w:color w:val="auto"/>
        </w:rPr>
      </w:pPr>
    </w:p>
    <w:p>
      <w:pPr>
        <w:spacing w:after="0"/>
        <w:rPr>
          <w:sz w:val="20"/>
          <w:szCs w:val="20"/>
          <w:color w:val="auto"/>
        </w:rPr>
      </w:pPr>
      <w:r>
        <w:rPr>
          <w:rFonts w:ascii="Arial" w:cs="Arial" w:eastAsia="Arial" w:hAnsi="Arial"/>
          <w:sz w:val="25"/>
          <w:szCs w:val="25"/>
          <w:color w:val="auto"/>
        </w:rPr>
        <w:t>Base Salary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Base salary is the principal fixed component of total direct compensation paid to the NEOs. Salaries are determined by reference to prevailing market pay rates, scope of job responsibility, and performance considerations. Annually, in February of each year, the Compensation Committee reviews and approves increases as appropriate for the NEOs to ensure their base salaries remain within range of market-representative pay levels. In February 2025, the Compensation Committee approved certain market and performance-based increases to the base salaries of the NEOs.</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color w:val="auto"/>
        </w:rPr>
        <w:t>Short-Term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47117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32320" cy="471170"/>
                    </a:xfrm>
                    <a:prstGeom prst="rect">
                      <a:avLst/>
                    </a:prstGeom>
                    <a:noFill/>
                  </pic:spPr>
                </pic:pic>
              </a:graphicData>
            </a:graphic>
          </wp:anchor>
        </w:drawing>
      </w:r>
    </w:p>
    <w:p>
      <w:pPr>
        <w:spacing w:after="0" w:line="389" w:lineRule="exact"/>
        <w:rPr>
          <w:sz w:val="20"/>
          <w:szCs w:val="20"/>
          <w:color w:val="auto"/>
        </w:rPr>
      </w:pPr>
    </w:p>
    <w:p>
      <w:pPr>
        <w:ind w:left="180" w:right="440"/>
        <w:spacing w:after="0" w:line="296" w:lineRule="auto"/>
        <w:rPr>
          <w:sz w:val="20"/>
          <w:szCs w:val="20"/>
          <w:color w:val="auto"/>
        </w:rPr>
      </w:pPr>
      <w:r>
        <w:rPr>
          <w:rFonts w:ascii="Arial" w:cs="Arial" w:eastAsia="Arial" w:hAnsi="Arial"/>
          <w:sz w:val="16"/>
          <w:szCs w:val="16"/>
          <w:b w:val="1"/>
          <w:bCs w:val="1"/>
          <w:color w:val="auto"/>
        </w:rPr>
        <w:t>Hubbell’s Short</w:t>
      </w:r>
      <w:r>
        <w:rPr>
          <w:rFonts w:ascii="Arial" w:cs="Arial" w:eastAsia="Arial" w:hAnsi="Arial"/>
          <w:sz w:val="16"/>
          <w:szCs w:val="16"/>
          <w:color w:val="auto"/>
        </w:rPr>
        <w:t>-</w:t>
      </w:r>
      <w:r>
        <w:rPr>
          <w:rFonts w:ascii="Arial" w:cs="Arial" w:eastAsia="Arial" w:hAnsi="Arial"/>
          <w:sz w:val="16"/>
          <w:szCs w:val="16"/>
          <w:b w:val="1"/>
          <w:bCs w:val="1"/>
          <w:color w:val="auto"/>
        </w:rPr>
        <w:t>Term Incentive program emphasizes our most critical annual financial metrics using performance goals established at the beginning of the year.</w:t>
      </w:r>
    </w:p>
    <w:p>
      <w:pPr>
        <w:spacing w:after="0" w:line="27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Hubbell’s Short-Term Incentive (“STI”) program is similar to executive STI award plans that are common at other manufacturing companies. Maintaining an STI program that typifies those used elsewhere makes the Company’s program competitive and helps us attract and retain high quality executive talent. STI awards are only paid to the extent the Company achieves the performance goals established by the Compensation Committee at the beginning of each year, and can range from 0% to 200% of an NEO’s STI target. The predetermined performance goals are intended to be challenging and consistent with the Compensation Committee’s view of strong business performance. The Compensation Committee may use its discretion to reduce (but not increase) the actual amount of the STI awards paid. Payouts are delivered in cash, subject to applicable tax withholding.</w:t>
      </w:r>
    </w:p>
    <w:p>
      <w:pPr>
        <w:spacing w:after="0" w:line="155"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Annual Short-term Incentive Targets</w:t>
      </w:r>
    </w:p>
    <w:p>
      <w:pPr>
        <w:spacing w:after="0" w:line="207"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STI targets for the NEOs, which are expressed as a percentage of base salary, are intended to approximate the median of the market for comparable positions. If targets are changed during the course of the year (e.g., due to a mid-year promotion), the full year target is pro-rated to reflect pre- and post-change periods. The 2025 target awards for the NEOs as approved by the Compensation Committee are shown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80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NEO</w:t>
            </w:r>
          </w:p>
        </w:tc>
        <w:tc>
          <w:tcPr>
            <w:tcW w:w="5440" w:type="dxa"/>
            <w:vAlign w:val="bottom"/>
            <w:tcBorders>
              <w:bottom w:val="single" w:sz="8" w:color="FFE933"/>
            </w:tcBorders>
            <w:shd w:val="clear" w:color="auto" w:fill="FFE933"/>
          </w:tcPr>
          <w:p>
            <w:pPr>
              <w:jc w:val="right"/>
              <w:spacing w:after="0"/>
              <w:rPr>
                <w:sz w:val="20"/>
                <w:szCs w:val="20"/>
                <w:color w:val="auto"/>
              </w:rPr>
            </w:pPr>
            <w:r>
              <w:rPr>
                <w:rFonts w:ascii="Arial" w:cs="Arial" w:eastAsia="Arial" w:hAnsi="Arial"/>
                <w:sz w:val="16"/>
                <w:szCs w:val="16"/>
                <w:b w:val="1"/>
                <w:bCs w:val="1"/>
                <w:color w:val="auto"/>
              </w:rPr>
              <w:t>2025 STI Target%</w:t>
            </w:r>
          </w:p>
        </w:tc>
      </w:tr>
      <w:tr>
        <w:trPr>
          <w:trHeight w:val="189"/>
        </w:trPr>
        <w:tc>
          <w:tcPr>
            <w:tcW w:w="58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GERBEN W. BAKKER</w:t>
            </w:r>
          </w:p>
        </w:tc>
        <w:tc>
          <w:tcPr>
            <w:tcW w:w="54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130%</w:t>
            </w:r>
          </w:p>
        </w:tc>
      </w:tr>
      <w:tr>
        <w:trPr>
          <w:trHeight w:val="183"/>
        </w:trPr>
        <w:tc>
          <w:tcPr>
            <w:tcW w:w="58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WILLIAM R. SPERRY</w:t>
            </w:r>
          </w:p>
        </w:tc>
        <w:tc>
          <w:tcPr>
            <w:tcW w:w="5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100%</w:t>
            </w:r>
          </w:p>
        </w:tc>
      </w:tr>
      <w:tr>
        <w:trPr>
          <w:trHeight w:val="183"/>
        </w:trPr>
        <w:tc>
          <w:tcPr>
            <w:tcW w:w="58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5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75%</w:t>
            </w:r>
          </w:p>
        </w:tc>
      </w:tr>
      <w:tr>
        <w:trPr>
          <w:trHeight w:val="183"/>
        </w:trPr>
        <w:tc>
          <w:tcPr>
            <w:tcW w:w="58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GREGORY A. GUMBS</w:t>
            </w:r>
          </w:p>
        </w:tc>
        <w:tc>
          <w:tcPr>
            <w:tcW w:w="5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75%</w:t>
            </w:r>
          </w:p>
        </w:tc>
      </w:tr>
      <w:tr>
        <w:trPr>
          <w:trHeight w:val="182"/>
        </w:trPr>
        <w:tc>
          <w:tcPr>
            <w:tcW w:w="58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KATHERINE A. LANE</w:t>
            </w:r>
          </w:p>
        </w:tc>
        <w:tc>
          <w:tcPr>
            <w:tcW w:w="5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75%</w:t>
            </w:r>
          </w:p>
        </w:tc>
      </w:tr>
    </w:tbl>
    <w:p>
      <w:pPr>
        <w:spacing w:after="0" w:line="215"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STI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-142240</wp:posOffset>
            </wp:positionV>
            <wp:extent cx="68580" cy="1200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Hubbell’s 2025 STI program for our NEOs is designed to drive performance on our most critical short-term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132080</wp:posOffset>
            </wp:positionV>
            <wp:extent cx="6172200" cy="11741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172200" cy="117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STI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-142240</wp:posOffset>
            </wp:positionV>
            <wp:extent cx="68580" cy="1200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120015"/>
                    </a:xfrm>
                    <a:prstGeom prst="rect">
                      <a:avLst/>
                    </a:prstGeom>
                    <a:noFill/>
                  </pic:spPr>
                </pic:pic>
              </a:graphicData>
            </a:graphic>
          </wp:anchor>
        </w:drawing>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outlines the metrics utilized in Hubbell’s 2025 STI program. As shown under “STI Calculations,” the applicable performance metrics and weights vary based on whether an NEO leads a business segment or holds an enterprise-wide role.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20" w:type="dxa"/>
            <w:vAlign w:val="bottom"/>
            <w:shd w:val="clear" w:color="auto" w:fill="FFE933"/>
          </w:tcPr>
          <w:p>
            <w:pPr>
              <w:spacing w:after="0"/>
              <w:rPr>
                <w:sz w:val="19"/>
                <w:szCs w:val="19"/>
                <w:color w:val="auto"/>
              </w:rPr>
            </w:pPr>
          </w:p>
        </w:tc>
        <w:tc>
          <w:tcPr>
            <w:tcW w:w="1100" w:type="dxa"/>
            <w:vAlign w:val="bottom"/>
            <w:shd w:val="clear" w:color="auto" w:fill="FFE933"/>
          </w:tcPr>
          <w:p>
            <w:pPr>
              <w:ind w:left="140"/>
              <w:spacing w:after="0"/>
              <w:rPr>
                <w:sz w:val="20"/>
                <w:szCs w:val="20"/>
                <w:color w:val="auto"/>
              </w:rPr>
            </w:pPr>
            <w:r>
              <w:rPr>
                <w:rFonts w:ascii="Arial" w:cs="Arial" w:eastAsia="Arial" w:hAnsi="Arial"/>
                <w:sz w:val="16"/>
                <w:szCs w:val="16"/>
                <w:b w:val="1"/>
                <w:bCs w:val="1"/>
                <w:color w:val="auto"/>
              </w:rPr>
              <w:t>Level</w:t>
            </w:r>
          </w:p>
        </w:tc>
        <w:tc>
          <w:tcPr>
            <w:tcW w:w="4080" w:type="dxa"/>
            <w:vAlign w:val="bottom"/>
            <w:shd w:val="clear" w:color="auto" w:fill="FFE933"/>
          </w:tcPr>
          <w:p>
            <w:pPr>
              <w:spacing w:after="0"/>
              <w:rPr>
                <w:sz w:val="19"/>
                <w:szCs w:val="19"/>
                <w:color w:val="auto"/>
              </w:rPr>
            </w:pPr>
          </w:p>
        </w:tc>
        <w:tc>
          <w:tcPr>
            <w:tcW w:w="4040" w:type="dxa"/>
            <w:vAlign w:val="bottom"/>
            <w:shd w:val="clear" w:color="auto" w:fill="FFE933"/>
          </w:tcPr>
          <w:p>
            <w:pPr>
              <w:spacing w:after="0"/>
              <w:rPr>
                <w:sz w:val="19"/>
                <w:szCs w:val="19"/>
                <w:color w:val="auto"/>
              </w:rPr>
            </w:pPr>
          </w:p>
        </w:tc>
      </w:tr>
      <w:tr>
        <w:trPr>
          <w:trHeight w:val="237"/>
        </w:trPr>
        <w:tc>
          <w:tcPr>
            <w:tcW w:w="202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Metric</w:t>
            </w:r>
          </w:p>
        </w:tc>
        <w:tc>
          <w:tcPr>
            <w:tcW w:w="1100" w:type="dxa"/>
            <w:vAlign w:val="bottom"/>
            <w:tcBorders>
              <w:bottom w:val="single" w:sz="8" w:color="FFE933"/>
            </w:tcBorders>
            <w:shd w:val="clear" w:color="auto" w:fill="FFE933"/>
          </w:tcPr>
          <w:p>
            <w:pPr>
              <w:ind w:left="140"/>
              <w:spacing w:after="0"/>
              <w:rPr>
                <w:sz w:val="20"/>
                <w:szCs w:val="20"/>
                <w:color w:val="auto"/>
              </w:rPr>
            </w:pPr>
            <w:r>
              <w:rPr>
                <w:rFonts w:ascii="Arial" w:cs="Arial" w:eastAsia="Arial" w:hAnsi="Arial"/>
                <w:sz w:val="16"/>
                <w:szCs w:val="16"/>
                <w:b w:val="1"/>
                <w:bCs w:val="1"/>
                <w:color w:val="auto"/>
              </w:rPr>
              <w:t>Measured</w:t>
            </w:r>
          </w:p>
        </w:tc>
        <w:tc>
          <w:tcPr>
            <w:tcW w:w="4080" w:type="dxa"/>
            <w:vAlign w:val="bottom"/>
            <w:tcBorders>
              <w:bottom w:val="single" w:sz="8" w:color="FFE933"/>
            </w:tcBorders>
            <w:shd w:val="clear" w:color="auto" w:fill="FFE933"/>
          </w:tcPr>
          <w:p>
            <w:pPr>
              <w:ind w:left="160"/>
              <w:spacing w:after="0"/>
              <w:rPr>
                <w:sz w:val="20"/>
                <w:szCs w:val="20"/>
                <w:color w:val="auto"/>
              </w:rPr>
            </w:pPr>
            <w:r>
              <w:rPr>
                <w:rFonts w:ascii="Arial" w:cs="Arial" w:eastAsia="Arial" w:hAnsi="Arial"/>
                <w:sz w:val="16"/>
                <w:szCs w:val="16"/>
                <w:b w:val="1"/>
                <w:bCs w:val="1"/>
                <w:color w:val="auto"/>
              </w:rPr>
              <w:t>How is it calculated?</w:t>
            </w:r>
          </w:p>
        </w:tc>
        <w:tc>
          <w:tcPr>
            <w:tcW w:w="4040" w:type="dxa"/>
            <w:vAlign w:val="bottom"/>
            <w:tcBorders>
              <w:bottom w:val="single" w:sz="8" w:color="FFE933"/>
            </w:tcBorders>
            <w:shd w:val="clear" w:color="auto" w:fill="FFE933"/>
          </w:tcPr>
          <w:p>
            <w:pPr>
              <w:ind w:left="120"/>
              <w:spacing w:after="0"/>
              <w:rPr>
                <w:sz w:val="20"/>
                <w:szCs w:val="20"/>
                <w:color w:val="auto"/>
              </w:rPr>
            </w:pPr>
            <w:r>
              <w:rPr>
                <w:rFonts w:ascii="Arial" w:cs="Arial" w:eastAsia="Arial" w:hAnsi="Arial"/>
                <w:sz w:val="16"/>
                <w:szCs w:val="16"/>
                <w:b w:val="1"/>
                <w:bCs w:val="1"/>
                <w:color w:val="auto"/>
              </w:rPr>
              <w:t>Why is it included in the STI Program?</w:t>
            </w:r>
          </w:p>
        </w:tc>
      </w:tr>
      <w:tr>
        <w:trPr>
          <w:trHeight w:val="189"/>
        </w:trPr>
        <w:tc>
          <w:tcPr>
            <w:tcW w:w="2020" w:type="dxa"/>
            <w:vAlign w:val="bottom"/>
          </w:tcPr>
          <w:p>
            <w:pPr>
              <w:ind w:left="60"/>
              <w:spacing w:after="0"/>
              <w:rPr>
                <w:sz w:val="20"/>
                <w:szCs w:val="20"/>
                <w:color w:val="auto"/>
              </w:rPr>
            </w:pPr>
            <w:r>
              <w:rPr>
                <w:rFonts w:ascii="Arial" w:cs="Arial" w:eastAsia="Arial" w:hAnsi="Arial"/>
                <w:sz w:val="16"/>
                <w:szCs w:val="16"/>
                <w:b w:val="1"/>
                <w:bCs w:val="1"/>
                <w:color w:val="auto"/>
              </w:rPr>
              <w:t>Adjusted Earnings Per</w:t>
            </w:r>
          </w:p>
        </w:tc>
        <w:tc>
          <w:tcPr>
            <w:tcW w:w="1100" w:type="dxa"/>
            <w:vAlign w:val="bottom"/>
          </w:tcPr>
          <w:p>
            <w:pPr>
              <w:ind w:left="140"/>
              <w:spacing w:after="0"/>
              <w:rPr>
                <w:sz w:val="20"/>
                <w:szCs w:val="20"/>
                <w:color w:val="auto"/>
              </w:rPr>
            </w:pPr>
            <w:r>
              <w:rPr>
                <w:rFonts w:ascii="Arial" w:cs="Arial" w:eastAsia="Arial" w:hAnsi="Arial"/>
                <w:sz w:val="16"/>
                <w:szCs w:val="16"/>
                <w:b w:val="1"/>
                <w:bCs w:val="1"/>
                <w:color w:val="auto"/>
              </w:rPr>
              <w:t>Enterprise</w:t>
            </w:r>
          </w:p>
        </w:tc>
        <w:tc>
          <w:tcPr>
            <w:tcW w:w="4080" w:type="dxa"/>
            <w:vAlign w:val="bottom"/>
          </w:tcPr>
          <w:p>
            <w:pPr>
              <w:ind w:left="160"/>
              <w:spacing w:after="0" w:line="189" w:lineRule="exact"/>
              <w:rPr>
                <w:sz w:val="20"/>
                <w:szCs w:val="20"/>
                <w:color w:val="auto"/>
              </w:rPr>
            </w:pPr>
            <w:r>
              <w:rPr>
                <w:rFonts w:ascii="Arial" w:cs="Arial" w:eastAsia="Arial" w:hAnsi="Arial"/>
                <w:sz w:val="14"/>
                <w:szCs w:val="14"/>
                <w:color w:val="auto"/>
              </w:rPr>
              <w:t>Adjusted net income</w:t>
            </w:r>
            <w:r>
              <w:rPr>
                <w:rFonts w:ascii="Arial" w:cs="Arial" w:eastAsia="Arial" w:hAnsi="Arial"/>
                <w:sz w:val="21"/>
                <w:szCs w:val="21"/>
                <w:color w:val="auto"/>
                <w:vertAlign w:val="superscript"/>
              </w:rPr>
              <w:t>(1)</w:t>
            </w:r>
            <w:r>
              <w:rPr>
                <w:rFonts w:ascii="Arial" w:cs="Arial" w:eastAsia="Arial" w:hAnsi="Arial"/>
                <w:sz w:val="14"/>
                <w:szCs w:val="14"/>
                <w:color w:val="auto"/>
              </w:rPr>
              <w:t xml:space="preserve"> divided by outstanding shares</w:t>
            </w:r>
          </w:p>
        </w:tc>
        <w:tc>
          <w:tcPr>
            <w:tcW w:w="4040" w:type="dxa"/>
            <w:vAlign w:val="bottom"/>
          </w:tcPr>
          <w:p>
            <w:pPr>
              <w:ind w:left="120"/>
              <w:spacing w:after="0"/>
              <w:rPr>
                <w:sz w:val="20"/>
                <w:szCs w:val="20"/>
                <w:color w:val="auto"/>
              </w:rPr>
            </w:pPr>
            <w:r>
              <w:rPr>
                <w:rFonts w:ascii="Arial" w:cs="Arial" w:eastAsia="Arial" w:hAnsi="Arial"/>
                <w:sz w:val="16"/>
                <w:szCs w:val="16"/>
                <w:color w:val="auto"/>
              </w:rPr>
              <w:t>Affects TSR most directly and is the most critical</w:t>
            </w:r>
          </w:p>
        </w:tc>
      </w:tr>
      <w:tr>
        <w:trPr>
          <w:trHeight w:val="230"/>
        </w:trPr>
        <w:tc>
          <w:tcPr>
            <w:tcW w:w="2020" w:type="dxa"/>
            <w:vAlign w:val="bottom"/>
            <w:tcBorders>
              <w:bottom w:val="single" w:sz="8" w:color="BCBEC0"/>
            </w:tcBorders>
          </w:tcPr>
          <w:p>
            <w:pPr>
              <w:ind w:left="60"/>
              <w:spacing w:after="0" w:line="230" w:lineRule="exact"/>
              <w:rPr>
                <w:sz w:val="20"/>
                <w:szCs w:val="20"/>
                <w:color w:val="auto"/>
              </w:rPr>
            </w:pPr>
            <w:r>
              <w:rPr>
                <w:rFonts w:ascii="Arial" w:cs="Arial" w:eastAsia="Arial" w:hAnsi="Arial"/>
                <w:sz w:val="16"/>
                <w:szCs w:val="16"/>
                <w:b w:val="1"/>
                <w:bCs w:val="1"/>
                <w:color w:val="auto"/>
              </w:rPr>
              <w:t>Share (EPS)</w:t>
            </w:r>
            <w:r>
              <w:rPr>
                <w:rFonts w:ascii="Arial" w:cs="Arial" w:eastAsia="Arial" w:hAnsi="Arial"/>
                <w:sz w:val="26"/>
                <w:szCs w:val="26"/>
                <w:b w:val="1"/>
                <w:bCs w:val="1"/>
                <w:color w:val="auto"/>
                <w:vertAlign w:val="superscript"/>
              </w:rPr>
              <w:t>(1)</w:t>
            </w:r>
          </w:p>
        </w:tc>
        <w:tc>
          <w:tcPr>
            <w:tcW w:w="1100" w:type="dxa"/>
            <w:vAlign w:val="bottom"/>
            <w:tcBorders>
              <w:bottom w:val="single" w:sz="8" w:color="BCBEC0"/>
            </w:tcBorders>
          </w:tcPr>
          <w:p>
            <w:pPr>
              <w:spacing w:after="0"/>
              <w:rPr>
                <w:sz w:val="19"/>
                <w:szCs w:val="19"/>
                <w:color w:val="auto"/>
              </w:rPr>
            </w:pPr>
          </w:p>
        </w:tc>
        <w:tc>
          <w:tcPr>
            <w:tcW w:w="408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of common stock.</w:t>
            </w:r>
          </w:p>
        </w:tc>
        <w:tc>
          <w:tcPr>
            <w:tcW w:w="4040" w:type="dxa"/>
            <w:vAlign w:val="bottom"/>
            <w:tcBorders>
              <w:bottom w:val="single" w:sz="8" w:color="BCBEC0"/>
            </w:tcBorders>
          </w:tcPr>
          <w:p>
            <w:pPr>
              <w:ind w:left="120"/>
              <w:spacing w:after="0"/>
              <w:rPr>
                <w:sz w:val="20"/>
                <w:szCs w:val="20"/>
                <w:color w:val="auto"/>
              </w:rPr>
            </w:pPr>
            <w:r>
              <w:rPr>
                <w:rFonts w:ascii="Arial" w:cs="Arial" w:eastAsia="Arial" w:hAnsi="Arial"/>
                <w:sz w:val="16"/>
                <w:szCs w:val="16"/>
                <w:color w:val="auto"/>
              </w:rPr>
              <w:t>measure of growth.</w:t>
            </w:r>
          </w:p>
        </w:tc>
      </w:tr>
      <w:tr>
        <w:trPr>
          <w:trHeight w:val="183"/>
        </w:trPr>
        <w:tc>
          <w:tcPr>
            <w:tcW w:w="2020" w:type="dxa"/>
            <w:vAlign w:val="bottom"/>
          </w:tcPr>
          <w:p>
            <w:pPr>
              <w:ind w:left="60"/>
              <w:spacing w:after="0" w:line="183" w:lineRule="exact"/>
              <w:rPr>
                <w:sz w:val="20"/>
                <w:szCs w:val="20"/>
                <w:color w:val="auto"/>
              </w:rPr>
            </w:pPr>
            <w:r>
              <w:rPr>
                <w:rFonts w:ascii="Arial" w:cs="Arial" w:eastAsia="Arial" w:hAnsi="Arial"/>
                <w:sz w:val="14"/>
                <w:szCs w:val="14"/>
                <w:b w:val="1"/>
                <w:bCs w:val="1"/>
                <w:color w:val="auto"/>
              </w:rPr>
              <w:t>Free Cash Flow (FCF)</w:t>
            </w:r>
            <w:r>
              <w:rPr>
                <w:rFonts w:ascii="Arial" w:cs="Arial" w:eastAsia="Arial" w:hAnsi="Arial"/>
                <w:sz w:val="21"/>
                <w:szCs w:val="21"/>
                <w:b w:val="1"/>
                <w:bCs w:val="1"/>
                <w:color w:val="auto"/>
                <w:vertAlign w:val="superscript"/>
              </w:rPr>
              <w:t>(1)</w:t>
            </w:r>
          </w:p>
        </w:tc>
        <w:tc>
          <w:tcPr>
            <w:tcW w:w="1100" w:type="dxa"/>
            <w:vAlign w:val="bottom"/>
          </w:tcPr>
          <w:p>
            <w:pPr>
              <w:ind w:left="140"/>
              <w:spacing w:after="0" w:line="183" w:lineRule="exact"/>
              <w:rPr>
                <w:sz w:val="20"/>
                <w:szCs w:val="20"/>
                <w:color w:val="auto"/>
              </w:rPr>
            </w:pPr>
            <w:r>
              <w:rPr>
                <w:rFonts w:ascii="Arial" w:cs="Arial" w:eastAsia="Arial" w:hAnsi="Arial"/>
                <w:sz w:val="16"/>
                <w:szCs w:val="16"/>
                <w:b w:val="1"/>
                <w:bCs w:val="1"/>
                <w:color w:val="auto"/>
              </w:rPr>
              <w:t>Enterprise</w:t>
            </w:r>
          </w:p>
        </w:tc>
        <w:tc>
          <w:tcPr>
            <w:tcW w:w="4080" w:type="dxa"/>
            <w:vAlign w:val="bottom"/>
          </w:tcPr>
          <w:p>
            <w:pPr>
              <w:ind w:left="160"/>
              <w:spacing w:after="0" w:line="183" w:lineRule="exact"/>
              <w:rPr>
                <w:sz w:val="20"/>
                <w:szCs w:val="20"/>
                <w:color w:val="auto"/>
              </w:rPr>
            </w:pPr>
            <w:r>
              <w:rPr>
                <w:rFonts w:ascii="Arial" w:cs="Arial" w:eastAsia="Arial" w:hAnsi="Arial"/>
                <w:sz w:val="16"/>
                <w:szCs w:val="16"/>
                <w:color w:val="auto"/>
              </w:rPr>
              <w:t>Cash flow from operations less capital expenditures.</w:t>
            </w:r>
          </w:p>
        </w:tc>
        <w:tc>
          <w:tcPr>
            <w:tcW w:w="4040" w:type="dxa"/>
            <w:vAlign w:val="bottom"/>
          </w:tcPr>
          <w:p>
            <w:pPr>
              <w:ind w:left="120"/>
              <w:spacing w:after="0" w:line="183" w:lineRule="exact"/>
              <w:rPr>
                <w:sz w:val="20"/>
                <w:szCs w:val="20"/>
                <w:color w:val="auto"/>
              </w:rPr>
            </w:pPr>
            <w:r>
              <w:rPr>
                <w:rFonts w:ascii="Arial" w:cs="Arial" w:eastAsia="Arial" w:hAnsi="Arial"/>
                <w:sz w:val="16"/>
                <w:szCs w:val="16"/>
                <w:color w:val="auto"/>
              </w:rPr>
              <w:t>Demonstrates management’s ability to generate cash</w:t>
            </w:r>
          </w:p>
        </w:tc>
      </w:tr>
      <w:tr>
        <w:trPr>
          <w:trHeight w:val="175"/>
        </w:trPr>
        <w:tc>
          <w:tcPr>
            <w:tcW w:w="2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4040" w:type="dxa"/>
            <w:vAlign w:val="bottom"/>
          </w:tcPr>
          <w:p>
            <w:pPr>
              <w:ind w:left="120"/>
              <w:spacing w:after="0" w:line="175" w:lineRule="exact"/>
              <w:rPr>
                <w:sz w:val="20"/>
                <w:szCs w:val="20"/>
                <w:color w:val="auto"/>
              </w:rPr>
            </w:pPr>
            <w:r>
              <w:rPr>
                <w:rFonts w:ascii="Arial" w:cs="Arial" w:eastAsia="Arial" w:hAnsi="Arial"/>
                <w:sz w:val="16"/>
                <w:szCs w:val="16"/>
                <w:color w:val="auto"/>
              </w:rPr>
              <w:t>for the business for ongoing operations and future</w:t>
            </w:r>
          </w:p>
        </w:tc>
      </w:tr>
      <w:tr>
        <w:trPr>
          <w:trHeight w:val="215"/>
        </w:trPr>
        <w:tc>
          <w:tcPr>
            <w:tcW w:w="2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4040" w:type="dxa"/>
            <w:vAlign w:val="bottom"/>
          </w:tcPr>
          <w:p>
            <w:pPr>
              <w:ind w:left="120"/>
              <w:spacing w:after="0"/>
              <w:rPr>
                <w:sz w:val="20"/>
                <w:szCs w:val="20"/>
                <w:color w:val="auto"/>
              </w:rPr>
            </w:pPr>
            <w:r>
              <w:rPr>
                <w:rFonts w:ascii="Arial" w:cs="Arial" w:eastAsia="Arial" w:hAnsi="Arial"/>
                <w:sz w:val="16"/>
                <w:szCs w:val="16"/>
                <w:color w:val="auto"/>
              </w:rPr>
              <w:t>investments.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ind w:left="60"/>
        <w:spacing w:after="0"/>
        <w:tabs>
          <w:tab w:leader="none" w:pos="2140" w:val="left"/>
          <w:tab w:leader="none" w:pos="3260" w:val="left"/>
        </w:tabs>
        <w:rPr>
          <w:sz w:val="20"/>
          <w:szCs w:val="20"/>
          <w:color w:val="auto"/>
        </w:rPr>
      </w:pPr>
      <w:r>
        <w:rPr>
          <w:rFonts w:ascii="Arial" w:cs="Arial" w:eastAsia="Arial" w:hAnsi="Arial"/>
          <w:sz w:val="16"/>
          <w:szCs w:val="16"/>
          <w:b w:val="1"/>
          <w:bCs w:val="1"/>
          <w:color w:val="auto"/>
        </w:rPr>
        <w:t>Operating Profit (OP)</w:t>
      </w:r>
      <w:r>
        <w:rPr>
          <w:sz w:val="20"/>
          <w:szCs w:val="20"/>
          <w:color w:val="auto"/>
        </w:rPr>
        <w:tab/>
      </w:r>
      <w:r>
        <w:rPr>
          <w:rFonts w:ascii="Arial" w:cs="Arial" w:eastAsia="Arial" w:hAnsi="Arial"/>
          <w:sz w:val="16"/>
          <w:szCs w:val="16"/>
          <w:b w:val="1"/>
          <w:bCs w:val="1"/>
          <w:color w:val="auto"/>
        </w:rPr>
        <w:t>Business</w:t>
      </w:r>
      <w:r>
        <w:rPr>
          <w:sz w:val="20"/>
          <w:szCs w:val="20"/>
          <w:color w:val="auto"/>
        </w:rPr>
        <w:tab/>
      </w:r>
      <w:r>
        <w:rPr>
          <w:rFonts w:ascii="Arial" w:cs="Arial" w:eastAsia="Arial" w:hAnsi="Arial"/>
          <w:sz w:val="16"/>
          <w:szCs w:val="16"/>
          <w:color w:val="auto"/>
        </w:rPr>
        <w:t>Segment-level net sales less cost of goods sold and</w:t>
      </w:r>
    </w:p>
    <w:p>
      <w:pPr>
        <w:spacing w:after="0" w:line="9" w:lineRule="exact"/>
        <w:rPr>
          <w:sz w:val="20"/>
          <w:szCs w:val="20"/>
          <w:color w:val="auto"/>
        </w:rPr>
      </w:pPr>
    </w:p>
    <w:p>
      <w:pPr>
        <w:ind w:left="2160"/>
        <w:spacing w:after="0"/>
        <w:tabs>
          <w:tab w:leader="none" w:pos="3260" w:val="left"/>
        </w:tabs>
        <w:rPr>
          <w:sz w:val="20"/>
          <w:szCs w:val="20"/>
          <w:color w:val="auto"/>
        </w:rPr>
      </w:pPr>
      <w:r>
        <w:rPr>
          <w:rFonts w:ascii="Arial" w:cs="Arial" w:eastAsia="Arial" w:hAnsi="Arial"/>
          <w:sz w:val="16"/>
          <w:szCs w:val="16"/>
          <w:b w:val="1"/>
          <w:bCs w:val="1"/>
          <w:color w:val="auto"/>
        </w:rPr>
        <w:t>segment</w:t>
      </w:r>
      <w:r>
        <w:rPr>
          <w:sz w:val="20"/>
          <w:szCs w:val="20"/>
          <w:color w:val="auto"/>
        </w:rPr>
        <w:tab/>
      </w:r>
      <w:r>
        <w:rPr>
          <w:rFonts w:ascii="Arial" w:cs="Arial" w:eastAsia="Arial" w:hAnsi="Arial"/>
          <w:sz w:val="16"/>
          <w:szCs w:val="16"/>
          <w:color w:val="auto"/>
        </w:rPr>
        <w:t>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Arial" w:cs="Arial" w:eastAsia="Arial" w:hAnsi="Arial"/>
          <w:sz w:val="16"/>
          <w:szCs w:val="16"/>
          <w:color w:val="auto"/>
        </w:rPr>
        <w:t>The most comprehensive measure of business segment performance; represents the direct impact of the segment leader on the business.</w:t>
      </w:r>
    </w:p>
    <w:p>
      <w:pPr>
        <w:spacing w:after="0" w:line="1" w:lineRule="exact"/>
        <w:rPr>
          <w:sz w:val="20"/>
          <w:szCs w:val="20"/>
          <w:color w:val="auto"/>
        </w:rPr>
      </w:pPr>
    </w:p>
    <w:p>
      <w:pPr>
        <w:sectPr>
          <w:pgSz w:w="11900" w:h="16838" w:orient="portrait"/>
          <w:cols w:equalWidth="0" w:num="2">
            <w:col w:w="7000" w:space="320"/>
            <w:col w:w="3920"/>
          </w:cols>
          <w:pgMar w:left="320" w:top="238" w:right="339" w:bottom="1440" w:gutter="0" w:footer="0" w:header="0"/>
          <w:type w:val="continuous"/>
        </w:sectPr>
      </w:pPr>
    </w:p>
    <w:p>
      <w:pPr>
        <w:ind w:left="60"/>
        <w:spacing w:after="0"/>
        <w:tabs>
          <w:tab w:leader="none" w:pos="2140" w:val="left"/>
          <w:tab w:leader="none" w:pos="3260" w:val="left"/>
        </w:tabs>
        <w:rPr>
          <w:sz w:val="20"/>
          <w:szCs w:val="20"/>
          <w:color w:val="auto"/>
        </w:rPr>
      </w:pPr>
      <w:r>
        <w:rPr>
          <w:rFonts w:ascii="Arial" w:cs="Arial" w:eastAsia="Arial" w:hAnsi="Arial"/>
          <w:sz w:val="16"/>
          <w:szCs w:val="16"/>
          <w:b w:val="1"/>
          <w:bCs w:val="1"/>
          <w:color w:val="auto"/>
        </w:rPr>
        <w:t>Operating Cash Flow</w:t>
      </w:r>
      <w:r>
        <w:rPr>
          <w:sz w:val="20"/>
          <w:szCs w:val="20"/>
          <w:color w:val="auto"/>
        </w:rPr>
        <w:tab/>
      </w:r>
      <w:r>
        <w:rPr>
          <w:rFonts w:ascii="Arial" w:cs="Arial" w:eastAsia="Arial" w:hAnsi="Arial"/>
          <w:sz w:val="16"/>
          <w:szCs w:val="16"/>
          <w:b w:val="1"/>
          <w:bCs w:val="1"/>
          <w:color w:val="auto"/>
        </w:rPr>
        <w:t>Business</w:t>
      </w:r>
      <w:r>
        <w:rPr>
          <w:sz w:val="20"/>
          <w:szCs w:val="20"/>
          <w:color w:val="auto"/>
        </w:rPr>
        <w:tab/>
      </w:r>
      <w:r>
        <w:rPr>
          <w:rFonts w:ascii="Arial" w:cs="Arial" w:eastAsia="Arial" w:hAnsi="Arial"/>
          <w:sz w:val="16"/>
          <w:szCs w:val="16"/>
          <w:color w:val="auto"/>
        </w:rPr>
        <w:t>Net cash from operating activities.</w:t>
      </w:r>
    </w:p>
    <w:p>
      <w:pPr>
        <w:spacing w:after="0" w:line="9" w:lineRule="exact"/>
        <w:rPr>
          <w:sz w:val="20"/>
          <w:szCs w:val="20"/>
          <w:color w:val="auto"/>
        </w:rPr>
      </w:pPr>
    </w:p>
    <w:p>
      <w:pPr>
        <w:ind w:left="60"/>
        <w:spacing w:after="0"/>
        <w:tabs>
          <w:tab w:leader="none" w:pos="2140" w:val="left"/>
        </w:tabs>
        <w:rPr>
          <w:sz w:val="20"/>
          <w:szCs w:val="20"/>
          <w:color w:val="auto"/>
        </w:rPr>
      </w:pPr>
      <w:r>
        <w:rPr>
          <w:rFonts w:ascii="Arial" w:cs="Arial" w:eastAsia="Arial" w:hAnsi="Arial"/>
          <w:sz w:val="16"/>
          <w:szCs w:val="16"/>
          <w:b w:val="1"/>
          <w:bCs w:val="1"/>
          <w:color w:val="auto"/>
        </w:rPr>
        <w:t>(OCF)</w:t>
      </w:r>
      <w:r>
        <w:rPr>
          <w:sz w:val="20"/>
          <w:szCs w:val="20"/>
          <w:color w:val="auto"/>
        </w:rPr>
        <w:tab/>
      </w:r>
      <w:r>
        <w:rPr>
          <w:rFonts w:ascii="Arial" w:cs="Arial" w:eastAsia="Arial" w:hAnsi="Arial"/>
          <w:sz w:val="16"/>
          <w:szCs w:val="16"/>
          <w:b w:val="1"/>
          <w:bCs w:val="1"/>
          <w:color w:val="auto"/>
        </w:rPr>
        <w:t>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252" w:lineRule="auto"/>
        <w:rPr>
          <w:sz w:val="20"/>
          <w:szCs w:val="20"/>
          <w:color w:val="auto"/>
        </w:rPr>
      </w:pPr>
      <w:r>
        <w:rPr>
          <w:rFonts w:ascii="Arial" w:cs="Arial" w:eastAsia="Arial" w:hAnsi="Arial"/>
          <w:sz w:val="16"/>
          <w:szCs w:val="16"/>
          <w:color w:val="auto"/>
        </w:rPr>
        <w:t>Demonstrates the segment leaders’ ability to manage ongoing operations in a positive manner, generating cash for the enterprise.</w:t>
      </w:r>
    </w:p>
    <w:p>
      <w:pPr>
        <w:spacing w:after="0" w:line="1" w:lineRule="exact"/>
        <w:rPr>
          <w:sz w:val="20"/>
          <w:szCs w:val="20"/>
          <w:color w:val="auto"/>
        </w:rPr>
      </w:pPr>
    </w:p>
    <w:p>
      <w:pPr>
        <w:sectPr>
          <w:pgSz w:w="11900" w:h="16838" w:orient="portrait"/>
          <w:cols w:equalWidth="0" w:num="2">
            <w:col w:w="6600" w:space="720"/>
            <w:col w:w="3920"/>
          </w:cols>
          <w:pgMar w:left="320" w:top="238" w:right="339" w:bottom="1440" w:gutter="0" w:footer="0" w:header="0"/>
          <w:type w:val="continuous"/>
        </w:sectPr>
      </w:pPr>
    </w:p>
    <w:p>
      <w:pPr>
        <w:ind w:left="60"/>
        <w:spacing w:after="0"/>
        <w:tabs>
          <w:tab w:leader="none" w:pos="2140" w:val="left"/>
          <w:tab w:leader="none" w:pos="3260" w:val="left"/>
        </w:tabs>
        <w:rPr>
          <w:sz w:val="20"/>
          <w:szCs w:val="20"/>
          <w:color w:val="auto"/>
        </w:rPr>
      </w:pPr>
      <w:r>
        <w:rPr>
          <w:rFonts w:ascii="Arial" w:cs="Arial" w:eastAsia="Arial" w:hAnsi="Arial"/>
          <w:sz w:val="16"/>
          <w:szCs w:val="16"/>
          <w:b w:val="1"/>
          <w:bCs w:val="1"/>
          <w:color w:val="auto"/>
        </w:rPr>
        <w:t>Strategic Objectives</w:t>
      </w:r>
      <w:r>
        <w:rPr>
          <w:sz w:val="20"/>
          <w:szCs w:val="20"/>
          <w:color w:val="auto"/>
        </w:rPr>
        <w:tab/>
      </w:r>
      <w:r>
        <w:rPr>
          <w:rFonts w:ascii="Arial" w:cs="Arial" w:eastAsia="Arial" w:hAnsi="Arial"/>
          <w:sz w:val="16"/>
          <w:szCs w:val="16"/>
          <w:b w:val="1"/>
          <w:bCs w:val="1"/>
          <w:color w:val="auto"/>
        </w:rPr>
        <w:t>Individual</w:t>
      </w:r>
      <w:r>
        <w:rPr>
          <w:sz w:val="20"/>
          <w:szCs w:val="20"/>
          <w:color w:val="auto"/>
        </w:rPr>
        <w:tab/>
      </w:r>
      <w:r>
        <w:rPr>
          <w:rFonts w:ascii="Arial" w:cs="Arial" w:eastAsia="Arial" w:hAnsi="Arial"/>
          <w:sz w:val="16"/>
          <w:szCs w:val="16"/>
          <w:color w:val="auto"/>
        </w:rPr>
        <w:t>The Compensation Committee’s evaluation of the</w:t>
      </w:r>
    </w:p>
    <w:p>
      <w:pPr>
        <w:spacing w:after="0" w:line="9" w:lineRule="exact"/>
        <w:rPr>
          <w:sz w:val="20"/>
          <w:szCs w:val="20"/>
          <w:color w:val="auto"/>
        </w:rPr>
      </w:pPr>
    </w:p>
    <w:p>
      <w:pPr>
        <w:ind w:left="3280"/>
        <w:spacing w:after="0" w:line="256" w:lineRule="auto"/>
        <w:rPr>
          <w:sz w:val="20"/>
          <w:szCs w:val="20"/>
          <w:color w:val="auto"/>
        </w:rPr>
      </w:pPr>
      <w:r>
        <w:rPr>
          <w:rFonts w:ascii="Arial" w:cs="Arial" w:eastAsia="Arial" w:hAnsi="Arial"/>
          <w:sz w:val="16"/>
          <w:szCs w:val="16"/>
          <w:color w:val="auto"/>
        </w:rPr>
        <w:t>CEO’s and other NEOs’ impact on Hubbell’s strategic objectives (including CEO input regarding the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58" w:lineRule="auto"/>
        <w:rPr>
          <w:sz w:val="20"/>
          <w:szCs w:val="20"/>
          <w:color w:val="auto"/>
        </w:rPr>
      </w:pPr>
      <w:r>
        <w:rPr>
          <w:rFonts w:ascii="Arial" w:cs="Arial" w:eastAsia="Arial" w:hAnsi="Arial"/>
          <w:sz w:val="16"/>
          <w:szCs w:val="16"/>
          <w:color w:val="auto"/>
        </w:rPr>
        <w:t>Strategic objectives prioritize the most critical short-term and long-term actions that will position the business to deliver shareholder value.</w:t>
      </w:r>
    </w:p>
    <w:p>
      <w:pPr>
        <w:spacing w:after="0" w:line="231" w:lineRule="exact"/>
        <w:rPr>
          <w:sz w:val="20"/>
          <w:szCs w:val="20"/>
          <w:color w:val="auto"/>
        </w:rPr>
      </w:pPr>
    </w:p>
    <w:p>
      <w:pPr>
        <w:sectPr>
          <w:pgSz w:w="11900" w:h="16838" w:orient="portrait"/>
          <w:cols w:equalWidth="0" w:num="2">
            <w:col w:w="7100" w:space="220"/>
            <w:col w:w="3920"/>
          </w:cols>
          <w:pgMar w:left="320" w:top="238" w:right="339" w:bottom="1440" w:gutter="0" w:footer="0" w:header="0"/>
          <w:type w:val="continuous"/>
        </w:sectPr>
      </w:pPr>
    </w:p>
    <w:p>
      <w:pPr>
        <w:spacing w:after="0"/>
        <w:rPr>
          <w:sz w:val="20"/>
          <w:szCs w:val="20"/>
          <w:color w:val="auto"/>
        </w:rPr>
      </w:pPr>
      <w:r>
        <w:rPr>
          <w:rFonts w:ascii="Arial" w:cs="Arial" w:eastAsia="Arial" w:hAnsi="Arial"/>
          <w:sz w:val="16"/>
          <w:szCs w:val="16"/>
          <w:color w:val="auto"/>
        </w:rPr>
        <w:t>Targets for these performance metrics are approved by the Compensation Committee in February of each year.</w:t>
      </w:r>
    </w:p>
    <w:p>
      <w:pPr>
        <w:spacing w:after="0" w:line="201" w:lineRule="exact"/>
        <w:rPr>
          <w:sz w:val="20"/>
          <w:szCs w:val="20"/>
          <w:color w:val="auto"/>
        </w:rPr>
      </w:pPr>
    </w:p>
    <w:p>
      <w:pPr>
        <w:jc w:val="both"/>
        <w:ind w:left="340" w:hanging="332"/>
        <w:spacing w:after="0" w:line="205" w:lineRule="auto"/>
        <w:tabs>
          <w:tab w:leader="none" w:pos="340" w:val="left"/>
        </w:tabs>
        <w:numPr>
          <w:ilvl w:val="0"/>
          <w:numId w:val="5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earnings per share, adjusted net income, and free cash flow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46</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STI Calculations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As shown below, the NEOs’ STI awards are calculated differently depending on their respective roles at Hubbell.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132080</wp:posOffset>
            </wp:positionV>
            <wp:extent cx="6172200" cy="290639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172200" cy="290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Objective Measures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20% of each NEO’s 2025 STI award is based on the attainment of Hubbell’s strategic objectives. Strategic objectives are set at the beginning of each year in the categories listed below, which represent the core pillars of Hubbell’s multi-year strategy. At the end of the annual performance period, the Compensation Committee, with input from the CEO and senior management, evaluates Hubbell’s performance on these objectives and assigns a payout factor for each NEO’s overall STI payout. Payout factors can range from 0-200%.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104775</wp:posOffset>
            </wp:positionV>
            <wp:extent cx="6429375" cy="9683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42937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600" w:type="dxa"/>
        <w:tblCellMar>
          <w:top w:w="0" w:type="dxa"/>
          <w:left w:w="0" w:type="dxa"/>
          <w:bottom w:w="0" w:type="dxa"/>
          <w:right w:w="0" w:type="dxa"/>
        </w:tblCellMar>
      </w:tblPr>
      <w:tr>
        <w:trPr>
          <w:trHeight w:val="223"/>
        </w:trPr>
        <w:tc>
          <w:tcPr>
            <w:tcW w:w="2420" w:type="dxa"/>
            <w:vAlign w:val="bottom"/>
          </w:tcPr>
          <w:p>
            <w:pPr>
              <w:jc w:val="center"/>
              <w:ind w:right="199"/>
              <w:spacing w:after="0"/>
              <w:rPr>
                <w:sz w:val="20"/>
                <w:szCs w:val="20"/>
                <w:color w:val="auto"/>
              </w:rPr>
            </w:pPr>
            <w:r>
              <w:rPr>
                <w:rFonts w:ascii="Arial" w:cs="Arial" w:eastAsia="Arial" w:hAnsi="Arial"/>
                <w:sz w:val="16"/>
                <w:szCs w:val="16"/>
                <w:b w:val="1"/>
                <w:bCs w:val="1"/>
                <w:color w:val="auto"/>
              </w:rPr>
              <w:t>Serve Our Customers</w:t>
            </w:r>
          </w:p>
        </w:tc>
        <w:tc>
          <w:tcPr>
            <w:tcW w:w="2560" w:type="dxa"/>
            <w:vAlign w:val="bottom"/>
          </w:tcPr>
          <w:p>
            <w:pPr>
              <w:jc w:val="center"/>
              <w:spacing w:after="0"/>
              <w:rPr>
                <w:sz w:val="20"/>
                <w:szCs w:val="20"/>
                <w:color w:val="auto"/>
              </w:rPr>
            </w:pPr>
            <w:r>
              <w:rPr>
                <w:rFonts w:ascii="Arial" w:cs="Arial" w:eastAsia="Arial" w:hAnsi="Arial"/>
                <w:sz w:val="16"/>
                <w:szCs w:val="16"/>
                <w:b w:val="1"/>
                <w:bCs w:val="1"/>
                <w:color w:val="auto"/>
              </w:rPr>
              <w:t>Grow The Enterprise</w:t>
            </w:r>
          </w:p>
        </w:tc>
        <w:tc>
          <w:tcPr>
            <w:tcW w:w="2700" w:type="dxa"/>
            <w:vAlign w:val="bottom"/>
          </w:tcPr>
          <w:p>
            <w:pPr>
              <w:jc w:val="center"/>
              <w:spacing w:after="0"/>
              <w:rPr>
                <w:sz w:val="20"/>
                <w:szCs w:val="20"/>
                <w:color w:val="auto"/>
              </w:rPr>
            </w:pPr>
            <w:r>
              <w:rPr>
                <w:rFonts w:ascii="Arial" w:cs="Arial" w:eastAsia="Arial" w:hAnsi="Arial"/>
                <w:sz w:val="16"/>
                <w:szCs w:val="16"/>
                <w:b w:val="1"/>
                <w:bCs w:val="1"/>
                <w:color w:val="auto"/>
              </w:rPr>
              <w:t>Operate With Discipline</w:t>
            </w:r>
          </w:p>
        </w:tc>
        <w:tc>
          <w:tcPr>
            <w:tcW w:w="2360" w:type="dxa"/>
            <w:vAlign w:val="bottom"/>
          </w:tcPr>
          <w:p>
            <w:pPr>
              <w:jc w:val="center"/>
              <w:ind w:left="139"/>
              <w:spacing w:after="0"/>
              <w:rPr>
                <w:sz w:val="20"/>
                <w:szCs w:val="20"/>
                <w:color w:val="auto"/>
              </w:rPr>
            </w:pPr>
            <w:r>
              <w:rPr>
                <w:rFonts w:ascii="Arial" w:cs="Arial" w:eastAsia="Arial" w:hAnsi="Arial"/>
                <w:sz w:val="16"/>
                <w:szCs w:val="16"/>
                <w:b w:val="1"/>
                <w:bCs w:val="1"/>
                <w:color w:val="auto"/>
              </w:rPr>
              <w:t>Develop Our People</w:t>
            </w:r>
          </w:p>
        </w:tc>
      </w:tr>
      <w:tr>
        <w:trPr>
          <w:trHeight w:val="344"/>
        </w:trPr>
        <w:tc>
          <w:tcPr>
            <w:tcW w:w="2420" w:type="dxa"/>
            <w:vAlign w:val="bottom"/>
          </w:tcPr>
          <w:p>
            <w:pPr>
              <w:jc w:val="center"/>
              <w:ind w:right="199"/>
              <w:spacing w:after="0"/>
              <w:rPr>
                <w:sz w:val="20"/>
                <w:szCs w:val="20"/>
                <w:color w:val="auto"/>
              </w:rPr>
            </w:pPr>
            <w:r>
              <w:rPr>
                <w:rFonts w:ascii="Arial" w:cs="Arial" w:eastAsia="Arial" w:hAnsi="Arial"/>
                <w:sz w:val="16"/>
                <w:szCs w:val="16"/>
                <w:color w:val="auto"/>
              </w:rPr>
              <w:t>We strive to exceed customer</w:t>
            </w:r>
          </w:p>
        </w:tc>
        <w:tc>
          <w:tcPr>
            <w:tcW w:w="2560" w:type="dxa"/>
            <w:vAlign w:val="bottom"/>
          </w:tcPr>
          <w:p>
            <w:pPr>
              <w:jc w:val="center"/>
              <w:spacing w:after="0"/>
              <w:rPr>
                <w:sz w:val="20"/>
                <w:szCs w:val="20"/>
                <w:color w:val="auto"/>
              </w:rPr>
            </w:pPr>
            <w:r>
              <w:rPr>
                <w:rFonts w:ascii="Arial" w:cs="Arial" w:eastAsia="Arial" w:hAnsi="Arial"/>
                <w:sz w:val="16"/>
                <w:szCs w:val="16"/>
                <w:color w:val="auto"/>
              </w:rPr>
              <w:t>We continue to grow our</w:t>
            </w:r>
          </w:p>
        </w:tc>
        <w:tc>
          <w:tcPr>
            <w:tcW w:w="2700" w:type="dxa"/>
            <w:vAlign w:val="bottom"/>
          </w:tcPr>
          <w:p>
            <w:pPr>
              <w:jc w:val="center"/>
              <w:spacing w:after="0"/>
              <w:rPr>
                <w:sz w:val="20"/>
                <w:szCs w:val="20"/>
                <w:color w:val="auto"/>
              </w:rPr>
            </w:pPr>
            <w:r>
              <w:rPr>
                <w:rFonts w:ascii="Arial" w:cs="Arial" w:eastAsia="Arial" w:hAnsi="Arial"/>
                <w:sz w:val="16"/>
                <w:szCs w:val="16"/>
                <w:color w:val="auto"/>
              </w:rPr>
              <w:t>We implement industry-leading</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We recruit, hire, and develop</w:t>
            </w:r>
          </w:p>
        </w:tc>
      </w:tr>
      <w:tr>
        <w:trPr>
          <w:trHeight w:val="189"/>
        </w:trPr>
        <w:tc>
          <w:tcPr>
            <w:tcW w:w="2420" w:type="dxa"/>
            <w:vAlign w:val="bottom"/>
          </w:tcPr>
          <w:p>
            <w:pPr>
              <w:jc w:val="center"/>
              <w:ind w:right="199"/>
              <w:spacing w:after="0"/>
              <w:rPr>
                <w:sz w:val="20"/>
                <w:szCs w:val="20"/>
                <w:color w:val="auto"/>
              </w:rPr>
            </w:pPr>
            <w:r>
              <w:rPr>
                <w:rFonts w:ascii="Arial" w:cs="Arial" w:eastAsia="Arial" w:hAnsi="Arial"/>
                <w:sz w:val="16"/>
                <w:szCs w:val="16"/>
                <w:color w:val="auto"/>
              </w:rPr>
              <w:t>expectations by providing</w:t>
            </w:r>
          </w:p>
        </w:tc>
        <w:tc>
          <w:tcPr>
            <w:tcW w:w="2560" w:type="dxa"/>
            <w:vAlign w:val="bottom"/>
          </w:tcPr>
          <w:p>
            <w:pPr>
              <w:jc w:val="center"/>
              <w:spacing w:after="0"/>
              <w:rPr>
                <w:sz w:val="20"/>
                <w:szCs w:val="20"/>
                <w:color w:val="auto"/>
              </w:rPr>
            </w:pPr>
            <w:r>
              <w:rPr>
                <w:rFonts w:ascii="Arial" w:cs="Arial" w:eastAsia="Arial" w:hAnsi="Arial"/>
                <w:sz w:val="16"/>
                <w:szCs w:val="16"/>
                <w:color w:val="auto"/>
              </w:rPr>
              <w:t>organization, both through</w:t>
            </w:r>
          </w:p>
        </w:tc>
        <w:tc>
          <w:tcPr>
            <w:tcW w:w="2700" w:type="dxa"/>
            <w:vAlign w:val="bottom"/>
          </w:tcPr>
          <w:p>
            <w:pPr>
              <w:jc w:val="center"/>
              <w:spacing w:after="0"/>
              <w:rPr>
                <w:sz w:val="20"/>
                <w:szCs w:val="20"/>
                <w:color w:val="auto"/>
              </w:rPr>
            </w:pPr>
            <w:r>
              <w:rPr>
                <w:rFonts w:ascii="Arial" w:cs="Arial" w:eastAsia="Arial" w:hAnsi="Arial"/>
                <w:sz w:val="16"/>
                <w:szCs w:val="16"/>
                <w:color w:val="auto"/>
              </w:rPr>
              <w:t>processes to ensure a</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talent that meets and</w:t>
            </w:r>
          </w:p>
        </w:tc>
      </w:tr>
      <w:tr>
        <w:trPr>
          <w:trHeight w:val="189"/>
        </w:trPr>
        <w:tc>
          <w:tcPr>
            <w:tcW w:w="2420" w:type="dxa"/>
            <w:vAlign w:val="bottom"/>
          </w:tcPr>
          <w:p>
            <w:pPr>
              <w:jc w:val="center"/>
              <w:ind w:right="199"/>
              <w:spacing w:after="0"/>
              <w:rPr>
                <w:sz w:val="20"/>
                <w:szCs w:val="20"/>
                <w:color w:val="auto"/>
              </w:rPr>
            </w:pPr>
            <w:r>
              <w:rPr>
                <w:rFonts w:ascii="Arial" w:cs="Arial" w:eastAsia="Arial" w:hAnsi="Arial"/>
                <w:sz w:val="16"/>
                <w:szCs w:val="16"/>
                <w:color w:val="auto"/>
              </w:rPr>
              <w:t>exceptional service and</w:t>
            </w:r>
          </w:p>
        </w:tc>
        <w:tc>
          <w:tcPr>
            <w:tcW w:w="2560" w:type="dxa"/>
            <w:vAlign w:val="bottom"/>
          </w:tcPr>
          <w:p>
            <w:pPr>
              <w:jc w:val="center"/>
              <w:spacing w:after="0"/>
              <w:rPr>
                <w:sz w:val="20"/>
                <w:szCs w:val="20"/>
                <w:color w:val="auto"/>
              </w:rPr>
            </w:pPr>
            <w:r>
              <w:rPr>
                <w:rFonts w:ascii="Arial" w:cs="Arial" w:eastAsia="Arial" w:hAnsi="Arial"/>
                <w:sz w:val="16"/>
                <w:szCs w:val="16"/>
                <w:color w:val="auto"/>
              </w:rPr>
              <w:t>developing innovative new</w:t>
            </w:r>
          </w:p>
        </w:tc>
        <w:tc>
          <w:tcPr>
            <w:tcW w:w="2700" w:type="dxa"/>
            <w:vAlign w:val="bottom"/>
          </w:tcPr>
          <w:p>
            <w:pPr>
              <w:jc w:val="center"/>
              <w:spacing w:after="0"/>
              <w:rPr>
                <w:sz w:val="20"/>
                <w:szCs w:val="20"/>
                <w:color w:val="auto"/>
              </w:rPr>
            </w:pPr>
            <w:r>
              <w:rPr>
                <w:rFonts w:ascii="Arial" w:cs="Arial" w:eastAsia="Arial" w:hAnsi="Arial"/>
                <w:sz w:val="16"/>
                <w:szCs w:val="16"/>
                <w:color w:val="auto"/>
              </w:rPr>
              <w:t>productive, safe, and</w:t>
            </w:r>
          </w:p>
        </w:tc>
        <w:tc>
          <w:tcPr>
            <w:tcW w:w="2360" w:type="dxa"/>
            <w:vAlign w:val="bottom"/>
          </w:tcPr>
          <w:p>
            <w:pPr>
              <w:jc w:val="center"/>
              <w:ind w:left="159"/>
              <w:spacing w:after="0"/>
              <w:rPr>
                <w:sz w:val="20"/>
                <w:szCs w:val="20"/>
                <w:color w:val="auto"/>
              </w:rPr>
            </w:pPr>
            <w:r>
              <w:rPr>
                <w:rFonts w:ascii="Arial" w:cs="Arial" w:eastAsia="Arial" w:hAnsi="Arial"/>
                <w:sz w:val="16"/>
                <w:szCs w:val="16"/>
                <w:color w:val="auto"/>
              </w:rPr>
              <w:t>anticipates the ever-changing</w:t>
            </w:r>
          </w:p>
        </w:tc>
      </w:tr>
      <w:tr>
        <w:trPr>
          <w:trHeight w:val="189"/>
        </w:trPr>
        <w:tc>
          <w:tcPr>
            <w:tcW w:w="2420" w:type="dxa"/>
            <w:vAlign w:val="bottom"/>
          </w:tcPr>
          <w:p>
            <w:pPr>
              <w:jc w:val="center"/>
              <w:ind w:right="199"/>
              <w:spacing w:after="0"/>
              <w:rPr>
                <w:sz w:val="20"/>
                <w:szCs w:val="20"/>
                <w:color w:val="auto"/>
              </w:rPr>
            </w:pPr>
            <w:r>
              <w:rPr>
                <w:rFonts w:ascii="Arial" w:cs="Arial" w:eastAsia="Arial" w:hAnsi="Arial"/>
                <w:sz w:val="16"/>
                <w:szCs w:val="16"/>
                <w:color w:val="auto"/>
              </w:rPr>
              <w:t>implementing processes that</w:t>
            </w:r>
          </w:p>
        </w:tc>
        <w:tc>
          <w:tcPr>
            <w:tcW w:w="2560" w:type="dxa"/>
            <w:vAlign w:val="bottom"/>
          </w:tcPr>
          <w:p>
            <w:pPr>
              <w:jc w:val="center"/>
              <w:spacing w:after="0"/>
              <w:rPr>
                <w:sz w:val="20"/>
                <w:szCs w:val="20"/>
                <w:color w:val="auto"/>
              </w:rPr>
            </w:pPr>
            <w:r>
              <w:rPr>
                <w:rFonts w:ascii="Arial" w:cs="Arial" w:eastAsia="Arial" w:hAnsi="Arial"/>
                <w:sz w:val="16"/>
                <w:szCs w:val="16"/>
                <w:color w:val="auto"/>
              </w:rPr>
              <w:t>products and by acquiring</w:t>
            </w:r>
          </w:p>
        </w:tc>
        <w:tc>
          <w:tcPr>
            <w:tcW w:w="2700" w:type="dxa"/>
            <w:vAlign w:val="bottom"/>
          </w:tcPr>
          <w:p>
            <w:pPr>
              <w:jc w:val="center"/>
              <w:spacing w:after="0"/>
              <w:rPr>
                <w:sz w:val="20"/>
                <w:szCs w:val="20"/>
                <w:color w:val="auto"/>
              </w:rPr>
            </w:pPr>
            <w:r>
              <w:rPr>
                <w:rFonts w:ascii="Arial" w:cs="Arial" w:eastAsia="Arial" w:hAnsi="Arial"/>
                <w:sz w:val="16"/>
                <w:szCs w:val="16"/>
                <w:color w:val="auto"/>
              </w:rPr>
              <w:t>compliant organization, and</w:t>
            </w:r>
          </w:p>
        </w:tc>
        <w:tc>
          <w:tcPr>
            <w:tcW w:w="2360" w:type="dxa"/>
            <w:vAlign w:val="bottom"/>
          </w:tcPr>
          <w:p>
            <w:pPr>
              <w:jc w:val="center"/>
              <w:ind w:left="139"/>
              <w:spacing w:after="0"/>
              <w:rPr>
                <w:sz w:val="20"/>
                <w:szCs w:val="20"/>
                <w:color w:val="auto"/>
              </w:rPr>
            </w:pPr>
            <w:r>
              <w:rPr>
                <w:rFonts w:ascii="Arial" w:cs="Arial" w:eastAsia="Arial" w:hAnsi="Arial"/>
                <w:sz w:val="16"/>
                <w:szCs w:val="16"/>
                <w:color w:val="auto"/>
              </w:rPr>
              <w:t>needs of our enterprise.</w:t>
            </w:r>
          </w:p>
        </w:tc>
      </w:tr>
      <w:tr>
        <w:trPr>
          <w:trHeight w:val="189"/>
        </w:trPr>
        <w:tc>
          <w:tcPr>
            <w:tcW w:w="2420" w:type="dxa"/>
            <w:vAlign w:val="bottom"/>
          </w:tcPr>
          <w:p>
            <w:pPr>
              <w:jc w:val="center"/>
              <w:ind w:right="179"/>
              <w:spacing w:after="0"/>
              <w:rPr>
                <w:sz w:val="20"/>
                <w:szCs w:val="20"/>
                <w:color w:val="auto"/>
              </w:rPr>
            </w:pPr>
            <w:r>
              <w:rPr>
                <w:rFonts w:ascii="Arial" w:cs="Arial" w:eastAsia="Arial" w:hAnsi="Arial"/>
                <w:sz w:val="16"/>
                <w:szCs w:val="16"/>
                <w:color w:val="auto"/>
              </w:rPr>
              <w:t>make it easy to do business</w:t>
            </w:r>
          </w:p>
        </w:tc>
        <w:tc>
          <w:tcPr>
            <w:tcW w:w="2560" w:type="dxa"/>
            <w:vAlign w:val="bottom"/>
          </w:tcPr>
          <w:p>
            <w:pPr>
              <w:jc w:val="center"/>
              <w:spacing w:after="0"/>
              <w:rPr>
                <w:sz w:val="20"/>
                <w:szCs w:val="20"/>
                <w:color w:val="auto"/>
              </w:rPr>
            </w:pPr>
            <w:r>
              <w:rPr>
                <w:rFonts w:ascii="Arial" w:cs="Arial" w:eastAsia="Arial" w:hAnsi="Arial"/>
                <w:sz w:val="16"/>
                <w:szCs w:val="16"/>
                <w:color w:val="auto"/>
              </w:rPr>
              <w:t>complementary businesses.</w:t>
            </w:r>
          </w:p>
        </w:tc>
        <w:tc>
          <w:tcPr>
            <w:tcW w:w="2700" w:type="dxa"/>
            <w:vAlign w:val="bottom"/>
          </w:tcPr>
          <w:p>
            <w:pPr>
              <w:jc w:val="center"/>
              <w:spacing w:after="0"/>
              <w:rPr>
                <w:sz w:val="20"/>
                <w:szCs w:val="20"/>
                <w:color w:val="auto"/>
              </w:rPr>
            </w:pPr>
            <w:r>
              <w:rPr>
                <w:rFonts w:ascii="Arial" w:cs="Arial" w:eastAsia="Arial" w:hAnsi="Arial"/>
                <w:sz w:val="16"/>
                <w:szCs w:val="16"/>
                <w:color w:val="auto"/>
              </w:rPr>
              <w:t>maximize our footprint for</w:t>
            </w:r>
          </w:p>
        </w:tc>
        <w:tc>
          <w:tcPr>
            <w:tcW w:w="2360" w:type="dxa"/>
            <w:vAlign w:val="bottom"/>
          </w:tcPr>
          <w:p>
            <w:pPr>
              <w:spacing w:after="0"/>
              <w:rPr>
                <w:sz w:val="16"/>
                <w:szCs w:val="16"/>
                <w:color w:val="auto"/>
              </w:rPr>
            </w:pPr>
          </w:p>
        </w:tc>
      </w:tr>
      <w:tr>
        <w:trPr>
          <w:trHeight w:val="215"/>
        </w:trPr>
        <w:tc>
          <w:tcPr>
            <w:tcW w:w="2420" w:type="dxa"/>
            <w:vAlign w:val="bottom"/>
          </w:tcPr>
          <w:p>
            <w:pPr>
              <w:jc w:val="center"/>
              <w:ind w:right="199"/>
              <w:spacing w:after="0"/>
              <w:rPr>
                <w:sz w:val="20"/>
                <w:szCs w:val="20"/>
                <w:color w:val="auto"/>
              </w:rPr>
            </w:pPr>
            <w:r>
              <w:rPr>
                <w:rFonts w:ascii="Arial" w:cs="Arial" w:eastAsia="Arial" w:hAnsi="Arial"/>
                <w:sz w:val="16"/>
                <w:szCs w:val="16"/>
                <w:color w:val="auto"/>
                <w:w w:val="99"/>
              </w:rPr>
              <w:t>with us.</w:t>
            </w:r>
          </w:p>
        </w:tc>
        <w:tc>
          <w:tcPr>
            <w:tcW w:w="256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Arial" w:cs="Arial" w:eastAsia="Arial" w:hAnsi="Arial"/>
                <w:sz w:val="16"/>
                <w:szCs w:val="16"/>
                <w:color w:val="auto"/>
              </w:rPr>
              <w:t>operational efficiency.</w:t>
            </w:r>
          </w:p>
        </w:tc>
        <w:tc>
          <w:tcPr>
            <w:tcW w:w="2360" w:type="dxa"/>
            <w:vAlign w:val="bottom"/>
          </w:tcPr>
          <w:p>
            <w:pPr>
              <w:spacing w:after="0"/>
              <w:rPr>
                <w:sz w:val="18"/>
                <w:szCs w:val="18"/>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2025 Performance Results and Payout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Enterprise</w:t>
      </w:r>
      <w:r>
        <w:rPr>
          <w:rFonts w:ascii="Arial" w:cs="Arial" w:eastAsia="Arial" w:hAnsi="Arial"/>
          <w:sz w:val="18"/>
          <w:szCs w:val="18"/>
          <w:color w:val="auto"/>
        </w:rPr>
        <w:t>-</w:t>
      </w:r>
      <w:r>
        <w:rPr>
          <w:rFonts w:ascii="Arial" w:cs="Arial" w:eastAsia="Arial" w:hAnsi="Arial"/>
          <w:sz w:val="18"/>
          <w:szCs w:val="18"/>
          <w:b w:val="1"/>
          <w:bCs w:val="1"/>
          <w:color w:val="auto"/>
        </w:rPr>
        <w:t>Level Measures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6"/>
          <w:szCs w:val="16"/>
          <w:color w:val="auto"/>
        </w:rPr>
        <w:t>For 2025, adjusted earnings per share</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was $18.21, which was then adjusted for predetermined discrete items not considered in assessing the performance versus target, including unspent but planned restructuring and related expenses and one-time impacts to the financials from changing the basis of inventory accounting from LIFO to FIFO, an unplanned tax benefit, and changes in foreign currency exchange rates. These adjustments reduced the overall payout.</w:t>
      </w:r>
    </w:p>
    <w:p>
      <w:pPr>
        <w:spacing w:after="0" w:line="324" w:lineRule="exact"/>
        <w:rPr>
          <w:sz w:val="20"/>
          <w:szCs w:val="20"/>
          <w:color w:val="auto"/>
        </w:rPr>
      </w:pPr>
    </w:p>
    <w:p>
      <w:pPr>
        <w:jc w:val="both"/>
        <w:ind w:left="340" w:hanging="332"/>
        <w:spacing w:after="0"/>
        <w:tabs>
          <w:tab w:leader="none" w:pos="340" w:val="left"/>
        </w:tabs>
        <w:numPr>
          <w:ilvl w:val="0"/>
          <w:numId w:val="5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earnings per share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23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enterprise targets and financial payout for 2025 as reviewed and approved by the Compensation Committee.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526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Metric</w:t>
            </w:r>
          </w:p>
        </w:tc>
        <w:tc>
          <w:tcPr>
            <w:tcW w:w="2240" w:type="dxa"/>
            <w:vAlign w:val="bottom"/>
            <w:tcBorders>
              <w:bottom w:val="single" w:sz="8" w:color="FFE933"/>
            </w:tcBorders>
            <w:shd w:val="clear" w:color="auto" w:fill="FFE933"/>
          </w:tcPr>
          <w:p>
            <w:pPr>
              <w:jc w:val="right"/>
              <w:ind w:right="319"/>
              <w:spacing w:after="0"/>
              <w:rPr>
                <w:sz w:val="20"/>
                <w:szCs w:val="20"/>
                <w:color w:val="auto"/>
              </w:rPr>
            </w:pPr>
            <w:r>
              <w:rPr>
                <w:rFonts w:ascii="Arial" w:cs="Arial" w:eastAsia="Arial" w:hAnsi="Arial"/>
                <w:sz w:val="16"/>
                <w:szCs w:val="16"/>
                <w:b w:val="1"/>
                <w:bCs w:val="1"/>
                <w:color w:val="auto"/>
              </w:rPr>
              <w:t>Target</w:t>
            </w:r>
          </w:p>
        </w:tc>
        <w:tc>
          <w:tcPr>
            <w:tcW w:w="2560" w:type="dxa"/>
            <w:vAlign w:val="bottom"/>
            <w:tcBorders>
              <w:bottom w:val="single" w:sz="8" w:color="FFE933"/>
            </w:tcBorders>
            <w:shd w:val="clear" w:color="auto" w:fill="FFE933"/>
          </w:tcPr>
          <w:p>
            <w:pPr>
              <w:jc w:val="right"/>
              <w:ind w:right="299"/>
              <w:spacing w:after="0"/>
              <w:rPr>
                <w:sz w:val="20"/>
                <w:szCs w:val="20"/>
                <w:color w:val="auto"/>
              </w:rPr>
            </w:pPr>
            <w:r>
              <w:rPr>
                <w:rFonts w:ascii="Arial" w:cs="Arial" w:eastAsia="Arial" w:hAnsi="Arial"/>
                <w:sz w:val="16"/>
                <w:szCs w:val="16"/>
                <w:b w:val="1"/>
                <w:bCs w:val="1"/>
                <w:color w:val="auto"/>
              </w:rPr>
              <w:t>Performance vs. Target</w:t>
            </w:r>
          </w:p>
        </w:tc>
        <w:tc>
          <w:tcPr>
            <w:tcW w:w="1180" w:type="dxa"/>
            <w:vAlign w:val="bottom"/>
            <w:tcBorders>
              <w:bottom w:val="single" w:sz="8" w:color="FFE933"/>
            </w:tcBorders>
            <w:shd w:val="clear" w:color="auto" w:fill="FFE933"/>
          </w:tcPr>
          <w:p>
            <w:pPr>
              <w:jc w:val="right"/>
              <w:spacing w:after="0"/>
              <w:rPr>
                <w:sz w:val="20"/>
                <w:szCs w:val="20"/>
                <w:color w:val="auto"/>
              </w:rPr>
            </w:pPr>
            <w:r>
              <w:rPr>
                <w:rFonts w:ascii="Arial" w:cs="Arial" w:eastAsia="Arial" w:hAnsi="Arial"/>
                <w:sz w:val="16"/>
                <w:szCs w:val="16"/>
                <w:b w:val="1"/>
                <w:bCs w:val="1"/>
                <w:color w:val="auto"/>
              </w:rPr>
              <w:t>Payout %</w:t>
            </w:r>
          </w:p>
        </w:tc>
      </w:tr>
      <w:tr>
        <w:trPr>
          <w:trHeight w:val="230"/>
        </w:trPr>
        <w:tc>
          <w:tcPr>
            <w:tcW w:w="5260" w:type="dxa"/>
            <w:vAlign w:val="bottom"/>
            <w:tcBorders>
              <w:bottom w:val="single" w:sz="8" w:color="BCBEC0"/>
            </w:tcBorders>
          </w:tcPr>
          <w:p>
            <w:pPr>
              <w:ind w:left="60"/>
              <w:spacing w:after="0" w:line="230" w:lineRule="exact"/>
              <w:rPr>
                <w:sz w:val="20"/>
                <w:szCs w:val="20"/>
                <w:color w:val="auto"/>
              </w:rPr>
            </w:pPr>
            <w:r>
              <w:rPr>
                <w:rFonts w:ascii="Arial" w:cs="Arial" w:eastAsia="Arial" w:hAnsi="Arial"/>
                <w:sz w:val="16"/>
                <w:szCs w:val="16"/>
                <w:color w:val="auto"/>
              </w:rPr>
              <w:t>Adjusted Earnings Per Share</w:t>
            </w:r>
            <w:r>
              <w:rPr>
                <w:rFonts w:ascii="Arial" w:cs="Arial" w:eastAsia="Arial" w:hAnsi="Arial"/>
                <w:sz w:val="26"/>
                <w:szCs w:val="26"/>
                <w:color w:val="auto"/>
                <w:vertAlign w:val="superscript"/>
              </w:rPr>
              <w:t>(1)</w:t>
            </w:r>
          </w:p>
        </w:tc>
        <w:tc>
          <w:tcPr>
            <w:tcW w:w="2240" w:type="dxa"/>
            <w:vAlign w:val="bottom"/>
            <w:tcBorders>
              <w:bottom w:val="single" w:sz="8" w:color="BCBEC0"/>
            </w:tcBorders>
          </w:tcPr>
          <w:p>
            <w:pPr>
              <w:jc w:val="right"/>
              <w:ind w:right="319"/>
              <w:spacing w:after="0"/>
              <w:rPr>
                <w:sz w:val="20"/>
                <w:szCs w:val="20"/>
                <w:color w:val="auto"/>
              </w:rPr>
            </w:pPr>
            <w:r>
              <w:rPr>
                <w:rFonts w:ascii="Arial" w:cs="Arial" w:eastAsia="Arial" w:hAnsi="Arial"/>
                <w:sz w:val="16"/>
                <w:szCs w:val="16"/>
                <w:color w:val="auto"/>
              </w:rPr>
              <w:t>$17.65</w:t>
            </w:r>
          </w:p>
        </w:tc>
        <w:tc>
          <w:tcPr>
            <w:tcW w:w="2560" w:type="dxa"/>
            <w:vAlign w:val="bottom"/>
            <w:tcBorders>
              <w:bottom w:val="single" w:sz="8" w:color="BCBEC0"/>
            </w:tcBorders>
          </w:tcPr>
          <w:p>
            <w:pPr>
              <w:jc w:val="right"/>
              <w:ind w:right="299"/>
              <w:spacing w:after="0"/>
              <w:rPr>
                <w:sz w:val="20"/>
                <w:szCs w:val="20"/>
                <w:color w:val="auto"/>
              </w:rPr>
            </w:pPr>
            <w:r>
              <w:rPr>
                <w:rFonts w:ascii="Arial" w:cs="Arial" w:eastAsia="Arial" w:hAnsi="Arial"/>
                <w:sz w:val="16"/>
                <w:szCs w:val="16"/>
                <w:color w:val="auto"/>
              </w:rPr>
              <w:t>96%</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79%</w:t>
            </w:r>
          </w:p>
        </w:tc>
      </w:tr>
      <w:tr>
        <w:trPr>
          <w:trHeight w:val="223"/>
        </w:trPr>
        <w:tc>
          <w:tcPr>
            <w:tcW w:w="526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Free Cash Flow</w:t>
            </w:r>
            <w:r>
              <w:rPr>
                <w:rFonts w:ascii="Arial" w:cs="Arial" w:eastAsia="Arial" w:hAnsi="Arial"/>
                <w:sz w:val="25"/>
                <w:szCs w:val="25"/>
                <w:color w:val="auto"/>
                <w:vertAlign w:val="superscript"/>
              </w:rPr>
              <w:t>(1)</w:t>
            </w:r>
          </w:p>
        </w:tc>
        <w:tc>
          <w:tcPr>
            <w:tcW w:w="2240" w:type="dxa"/>
            <w:vAlign w:val="bottom"/>
            <w:tcBorders>
              <w:bottom w:val="single" w:sz="8" w:color="BCBEC0"/>
            </w:tcBorders>
          </w:tcPr>
          <w:p>
            <w:pPr>
              <w:jc w:val="right"/>
              <w:ind w:right="319"/>
              <w:spacing w:after="0"/>
              <w:rPr>
                <w:sz w:val="20"/>
                <w:szCs w:val="20"/>
                <w:color w:val="auto"/>
              </w:rPr>
            </w:pPr>
            <w:r>
              <w:rPr>
                <w:rFonts w:ascii="Arial" w:cs="Arial" w:eastAsia="Arial" w:hAnsi="Arial"/>
                <w:sz w:val="16"/>
                <w:szCs w:val="16"/>
                <w:color w:val="auto"/>
              </w:rPr>
              <w:t>$855M</w:t>
            </w:r>
          </w:p>
        </w:tc>
        <w:tc>
          <w:tcPr>
            <w:tcW w:w="2560" w:type="dxa"/>
            <w:vAlign w:val="bottom"/>
            <w:tcBorders>
              <w:bottom w:val="single" w:sz="8" w:color="BCBEC0"/>
            </w:tcBorders>
          </w:tcPr>
          <w:p>
            <w:pPr>
              <w:jc w:val="right"/>
              <w:ind w:right="299"/>
              <w:spacing w:after="0"/>
              <w:rPr>
                <w:sz w:val="20"/>
                <w:szCs w:val="20"/>
                <w:color w:val="auto"/>
              </w:rPr>
            </w:pPr>
            <w:r>
              <w:rPr>
                <w:rFonts w:ascii="Arial" w:cs="Arial" w:eastAsia="Arial" w:hAnsi="Arial"/>
                <w:sz w:val="16"/>
                <w:szCs w:val="16"/>
                <w:color w:val="auto"/>
              </w:rPr>
              <w:t>97%</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93%</w:t>
            </w:r>
          </w:p>
        </w:tc>
      </w:tr>
      <w:tr>
        <w:trPr>
          <w:trHeight w:val="183"/>
        </w:trPr>
        <w:tc>
          <w:tcPr>
            <w:tcW w:w="52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Blended Payout for Enterprise Level Financial Metrics</w:t>
            </w:r>
          </w:p>
        </w:tc>
        <w:tc>
          <w:tcPr>
            <w:tcW w:w="2240" w:type="dxa"/>
            <w:vAlign w:val="bottom"/>
            <w:tcBorders>
              <w:bottom w:val="single" w:sz="8" w:color="BCBEC0"/>
            </w:tcBorders>
          </w:tcPr>
          <w:p>
            <w:pPr>
              <w:spacing w:after="0"/>
              <w:rPr>
                <w:sz w:val="15"/>
                <w:szCs w:val="15"/>
                <w:color w:val="auto"/>
              </w:rPr>
            </w:pPr>
          </w:p>
        </w:tc>
        <w:tc>
          <w:tcPr>
            <w:tcW w:w="2560" w:type="dxa"/>
            <w:vAlign w:val="bottom"/>
            <w:tcBorders>
              <w:bottom w:val="single" w:sz="8" w:color="BCBEC0"/>
            </w:tcBorders>
          </w:tcPr>
          <w:p>
            <w:pPr>
              <w:spacing w:after="0"/>
              <w:rPr>
                <w:sz w:val="15"/>
                <w:szCs w:val="15"/>
                <w:color w:val="auto"/>
              </w:rPr>
            </w:pPr>
          </w:p>
        </w:tc>
        <w:tc>
          <w:tcPr>
            <w:tcW w:w="11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b w:val="1"/>
                <w:bCs w:val="1"/>
                <w:color w:val="auto"/>
              </w:rPr>
              <w:t>84%</w:t>
            </w:r>
          </w:p>
        </w:tc>
      </w:tr>
    </w:tbl>
    <w:p>
      <w:pPr>
        <w:spacing w:after="0" w:line="47" w:lineRule="exact"/>
        <w:rPr>
          <w:sz w:val="20"/>
          <w:szCs w:val="20"/>
          <w:color w:val="auto"/>
        </w:rPr>
      </w:pPr>
    </w:p>
    <w:p>
      <w:pPr>
        <w:jc w:val="both"/>
        <w:ind w:left="340" w:hanging="332"/>
        <w:spacing w:after="0" w:line="205" w:lineRule="auto"/>
        <w:tabs>
          <w:tab w:leader="none" w:pos="340" w:val="left"/>
        </w:tabs>
        <w:numPr>
          <w:ilvl w:val="0"/>
          <w:numId w:val="56"/>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earnings per share and free cash flow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w:t>
      </w:r>
      <w:r>
        <w:rPr>
          <w:rFonts w:ascii="Arial" w:cs="Arial" w:eastAsia="Arial" w:hAnsi="Arial"/>
          <w:sz w:val="18"/>
          <w:szCs w:val="18"/>
          <w:color w:val="auto"/>
        </w:rPr>
        <w:t>-</w:t>
      </w:r>
      <w:r>
        <w:rPr>
          <w:rFonts w:ascii="Arial" w:cs="Arial" w:eastAsia="Arial" w:hAnsi="Arial"/>
          <w:sz w:val="18"/>
          <w:szCs w:val="18"/>
          <w:b w:val="1"/>
          <w:bCs w:val="1"/>
          <w:color w:val="auto"/>
        </w:rPr>
        <w:t>Level Measures</w:t>
      </w:r>
    </w:p>
    <w:p>
      <w:pPr>
        <w:spacing w:after="0" w:line="18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Mr. Mikes leads the Electrical Solutions segment. A portion of his STI was based on the Operating Profit and Operating Cash Flow performance of that business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Electrical Solutions Segment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4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Metric</w:t>
            </w:r>
          </w:p>
        </w:tc>
        <w:tc>
          <w:tcPr>
            <w:tcW w:w="2660" w:type="dxa"/>
            <w:vAlign w:val="bottom"/>
            <w:tcBorders>
              <w:bottom w:val="single" w:sz="8" w:color="FFE933"/>
            </w:tcBorders>
            <w:shd w:val="clear" w:color="auto" w:fill="FFE933"/>
          </w:tcPr>
          <w:p>
            <w:pPr>
              <w:jc w:val="right"/>
              <w:ind w:right="359"/>
              <w:spacing w:after="0"/>
              <w:rPr>
                <w:sz w:val="20"/>
                <w:szCs w:val="20"/>
                <w:color w:val="auto"/>
              </w:rPr>
            </w:pPr>
            <w:r>
              <w:rPr>
                <w:rFonts w:ascii="Arial" w:cs="Arial" w:eastAsia="Arial" w:hAnsi="Arial"/>
                <w:sz w:val="16"/>
                <w:szCs w:val="16"/>
                <w:b w:val="1"/>
                <w:bCs w:val="1"/>
                <w:color w:val="auto"/>
              </w:rPr>
              <w:t>Target</w:t>
            </w:r>
          </w:p>
        </w:tc>
        <w:tc>
          <w:tcPr>
            <w:tcW w:w="2560" w:type="dxa"/>
            <w:vAlign w:val="bottom"/>
            <w:tcBorders>
              <w:bottom w:val="single" w:sz="8" w:color="FFE933"/>
            </w:tcBorders>
            <w:shd w:val="clear" w:color="auto" w:fill="FFE933"/>
          </w:tcPr>
          <w:p>
            <w:pPr>
              <w:jc w:val="right"/>
              <w:ind w:right="299"/>
              <w:spacing w:after="0"/>
              <w:rPr>
                <w:sz w:val="20"/>
                <w:szCs w:val="20"/>
                <w:color w:val="auto"/>
              </w:rPr>
            </w:pPr>
            <w:r>
              <w:rPr>
                <w:rFonts w:ascii="Arial" w:cs="Arial" w:eastAsia="Arial" w:hAnsi="Arial"/>
                <w:sz w:val="16"/>
                <w:szCs w:val="16"/>
                <w:b w:val="1"/>
                <w:bCs w:val="1"/>
                <w:color w:val="auto"/>
              </w:rPr>
              <w:t>Performance vs. Target</w:t>
            </w:r>
          </w:p>
        </w:tc>
        <w:tc>
          <w:tcPr>
            <w:tcW w:w="1180" w:type="dxa"/>
            <w:vAlign w:val="bottom"/>
            <w:tcBorders>
              <w:bottom w:val="single" w:sz="8" w:color="FFE933"/>
            </w:tcBorders>
            <w:shd w:val="clear" w:color="auto" w:fill="FFE933"/>
          </w:tcPr>
          <w:p>
            <w:pPr>
              <w:jc w:val="right"/>
              <w:spacing w:after="0"/>
              <w:rPr>
                <w:sz w:val="20"/>
                <w:szCs w:val="20"/>
                <w:color w:val="auto"/>
              </w:rPr>
            </w:pPr>
            <w:r>
              <w:rPr>
                <w:rFonts w:ascii="Arial" w:cs="Arial" w:eastAsia="Arial" w:hAnsi="Arial"/>
                <w:sz w:val="16"/>
                <w:szCs w:val="16"/>
                <w:b w:val="1"/>
                <w:bCs w:val="1"/>
                <w:color w:val="auto"/>
              </w:rPr>
              <w:t>Payout %</w:t>
            </w:r>
          </w:p>
        </w:tc>
      </w:tr>
      <w:tr>
        <w:trPr>
          <w:trHeight w:val="189"/>
        </w:trPr>
        <w:tc>
          <w:tcPr>
            <w:tcW w:w="484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Operating Profit</w:t>
            </w:r>
          </w:p>
        </w:tc>
        <w:tc>
          <w:tcPr>
            <w:tcW w:w="2660" w:type="dxa"/>
            <w:vAlign w:val="bottom"/>
            <w:tcBorders>
              <w:bottom w:val="single" w:sz="8" w:color="BCBEC0"/>
            </w:tcBorders>
          </w:tcPr>
          <w:p>
            <w:pPr>
              <w:jc w:val="right"/>
              <w:ind w:right="319"/>
              <w:spacing w:after="0"/>
              <w:rPr>
                <w:sz w:val="20"/>
                <w:szCs w:val="20"/>
                <w:color w:val="auto"/>
              </w:rPr>
            </w:pPr>
            <w:r>
              <w:rPr>
                <w:rFonts w:ascii="Arial" w:cs="Arial" w:eastAsia="Arial" w:hAnsi="Arial"/>
                <w:sz w:val="16"/>
                <w:szCs w:val="16"/>
                <w:color w:val="auto"/>
              </w:rPr>
              <w:t>108% (% vs. PY)</w:t>
            </w:r>
          </w:p>
        </w:tc>
        <w:tc>
          <w:tcPr>
            <w:tcW w:w="2560" w:type="dxa"/>
            <w:vAlign w:val="bottom"/>
            <w:tcBorders>
              <w:bottom w:val="single" w:sz="8" w:color="BCBEC0"/>
            </w:tcBorders>
          </w:tcPr>
          <w:p>
            <w:pPr>
              <w:jc w:val="right"/>
              <w:ind w:right="299"/>
              <w:spacing w:after="0"/>
              <w:rPr>
                <w:sz w:val="20"/>
                <w:szCs w:val="20"/>
                <w:color w:val="auto"/>
              </w:rPr>
            </w:pPr>
            <w:r>
              <w:rPr>
                <w:rFonts w:ascii="Arial" w:cs="Arial" w:eastAsia="Arial" w:hAnsi="Arial"/>
                <w:sz w:val="16"/>
                <w:szCs w:val="16"/>
                <w:color w:val="auto"/>
              </w:rPr>
              <w:t>97%</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90%</w:t>
            </w:r>
          </w:p>
        </w:tc>
      </w:tr>
      <w:tr>
        <w:trPr>
          <w:trHeight w:val="183"/>
        </w:trPr>
        <w:tc>
          <w:tcPr>
            <w:tcW w:w="484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Operating Cash Flow</w:t>
            </w:r>
          </w:p>
        </w:tc>
        <w:tc>
          <w:tcPr>
            <w:tcW w:w="2660" w:type="dxa"/>
            <w:vAlign w:val="bottom"/>
            <w:tcBorders>
              <w:bottom w:val="single" w:sz="8" w:color="BCBEC0"/>
            </w:tcBorders>
          </w:tcPr>
          <w:p>
            <w:pPr>
              <w:jc w:val="right"/>
              <w:ind w:right="319"/>
              <w:spacing w:after="0" w:line="183" w:lineRule="exact"/>
              <w:rPr>
                <w:sz w:val="20"/>
                <w:szCs w:val="20"/>
                <w:color w:val="auto"/>
              </w:rPr>
            </w:pPr>
            <w:r>
              <w:rPr>
                <w:rFonts w:ascii="Arial" w:cs="Arial" w:eastAsia="Arial" w:hAnsi="Arial"/>
                <w:sz w:val="16"/>
                <w:szCs w:val="16"/>
                <w:color w:val="auto"/>
              </w:rPr>
              <w:t>102% (% of OP)</w:t>
            </w:r>
          </w:p>
        </w:tc>
        <w:tc>
          <w:tcPr>
            <w:tcW w:w="256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98%</w:t>
            </w:r>
          </w:p>
        </w:tc>
        <w:tc>
          <w:tcPr>
            <w:tcW w:w="11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96%</w:t>
            </w:r>
          </w:p>
        </w:tc>
      </w:tr>
      <w:tr>
        <w:trPr>
          <w:trHeight w:val="183"/>
        </w:trPr>
        <w:tc>
          <w:tcPr>
            <w:tcW w:w="484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Blended Payout for Segment Level Financial Metrics</w:t>
            </w:r>
          </w:p>
        </w:tc>
        <w:tc>
          <w:tcPr>
            <w:tcW w:w="2660" w:type="dxa"/>
            <w:vAlign w:val="bottom"/>
            <w:tcBorders>
              <w:bottom w:val="single" w:sz="8" w:color="BCBEC0"/>
            </w:tcBorders>
          </w:tcPr>
          <w:p>
            <w:pPr>
              <w:spacing w:after="0"/>
              <w:rPr>
                <w:sz w:val="15"/>
                <w:szCs w:val="15"/>
                <w:color w:val="auto"/>
              </w:rPr>
            </w:pPr>
          </w:p>
        </w:tc>
        <w:tc>
          <w:tcPr>
            <w:tcW w:w="2560" w:type="dxa"/>
            <w:vAlign w:val="bottom"/>
            <w:tcBorders>
              <w:bottom w:val="single" w:sz="8" w:color="BCBEC0"/>
            </w:tcBorders>
          </w:tcPr>
          <w:p>
            <w:pPr>
              <w:spacing w:after="0"/>
              <w:rPr>
                <w:sz w:val="15"/>
                <w:szCs w:val="15"/>
                <w:color w:val="auto"/>
              </w:rPr>
            </w:pPr>
          </w:p>
        </w:tc>
        <w:tc>
          <w:tcPr>
            <w:tcW w:w="11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b w:val="1"/>
                <w:bCs w:val="1"/>
                <w:color w:val="auto"/>
              </w:rPr>
              <w:t>92%</w:t>
            </w:r>
          </w:p>
        </w:tc>
      </w:tr>
    </w:tbl>
    <w:p>
      <w:pPr>
        <w:spacing w:after="0" w:line="17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Mr. Gumbs leads the Utility Solutions segment. A portion of his STI was based on the Operating Profit and Operating Cash Flow performance of that business segment.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Solutions Segment</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4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Metric</w:t>
            </w:r>
          </w:p>
        </w:tc>
        <w:tc>
          <w:tcPr>
            <w:tcW w:w="2660" w:type="dxa"/>
            <w:vAlign w:val="bottom"/>
            <w:tcBorders>
              <w:bottom w:val="single" w:sz="8" w:color="FFE933"/>
            </w:tcBorders>
            <w:shd w:val="clear" w:color="auto" w:fill="FFE933"/>
          </w:tcPr>
          <w:p>
            <w:pPr>
              <w:jc w:val="right"/>
              <w:ind w:right="359"/>
              <w:spacing w:after="0"/>
              <w:rPr>
                <w:sz w:val="20"/>
                <w:szCs w:val="20"/>
                <w:color w:val="auto"/>
              </w:rPr>
            </w:pPr>
            <w:r>
              <w:rPr>
                <w:rFonts w:ascii="Arial" w:cs="Arial" w:eastAsia="Arial" w:hAnsi="Arial"/>
                <w:sz w:val="16"/>
                <w:szCs w:val="16"/>
                <w:b w:val="1"/>
                <w:bCs w:val="1"/>
                <w:color w:val="auto"/>
              </w:rPr>
              <w:t>Target</w:t>
            </w:r>
          </w:p>
        </w:tc>
        <w:tc>
          <w:tcPr>
            <w:tcW w:w="2560" w:type="dxa"/>
            <w:vAlign w:val="bottom"/>
            <w:tcBorders>
              <w:bottom w:val="single" w:sz="8" w:color="FFE933"/>
            </w:tcBorders>
            <w:shd w:val="clear" w:color="auto" w:fill="FFE933"/>
          </w:tcPr>
          <w:p>
            <w:pPr>
              <w:jc w:val="right"/>
              <w:ind w:right="299"/>
              <w:spacing w:after="0"/>
              <w:rPr>
                <w:sz w:val="20"/>
                <w:szCs w:val="20"/>
                <w:color w:val="auto"/>
              </w:rPr>
            </w:pPr>
            <w:r>
              <w:rPr>
                <w:rFonts w:ascii="Arial" w:cs="Arial" w:eastAsia="Arial" w:hAnsi="Arial"/>
                <w:sz w:val="16"/>
                <w:szCs w:val="16"/>
                <w:b w:val="1"/>
                <w:bCs w:val="1"/>
                <w:color w:val="auto"/>
              </w:rPr>
              <w:t>Performance vs. Target</w:t>
            </w:r>
          </w:p>
        </w:tc>
        <w:tc>
          <w:tcPr>
            <w:tcW w:w="1180" w:type="dxa"/>
            <w:vAlign w:val="bottom"/>
            <w:tcBorders>
              <w:bottom w:val="single" w:sz="8" w:color="FFE933"/>
            </w:tcBorders>
            <w:shd w:val="clear" w:color="auto" w:fill="FFE933"/>
          </w:tcPr>
          <w:p>
            <w:pPr>
              <w:jc w:val="right"/>
              <w:spacing w:after="0"/>
              <w:rPr>
                <w:sz w:val="20"/>
                <w:szCs w:val="20"/>
                <w:color w:val="auto"/>
              </w:rPr>
            </w:pPr>
            <w:r>
              <w:rPr>
                <w:rFonts w:ascii="Arial" w:cs="Arial" w:eastAsia="Arial" w:hAnsi="Arial"/>
                <w:sz w:val="16"/>
                <w:szCs w:val="16"/>
                <w:b w:val="1"/>
                <w:bCs w:val="1"/>
                <w:color w:val="auto"/>
              </w:rPr>
              <w:t>Payout %</w:t>
            </w:r>
          </w:p>
        </w:tc>
      </w:tr>
      <w:tr>
        <w:trPr>
          <w:trHeight w:val="189"/>
        </w:trPr>
        <w:tc>
          <w:tcPr>
            <w:tcW w:w="484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Operating Profit</w:t>
            </w:r>
          </w:p>
        </w:tc>
        <w:tc>
          <w:tcPr>
            <w:tcW w:w="2660" w:type="dxa"/>
            <w:vAlign w:val="bottom"/>
            <w:tcBorders>
              <w:bottom w:val="single" w:sz="8" w:color="BCBEC0"/>
            </w:tcBorders>
          </w:tcPr>
          <w:p>
            <w:pPr>
              <w:jc w:val="right"/>
              <w:ind w:right="319"/>
              <w:spacing w:after="0"/>
              <w:rPr>
                <w:sz w:val="20"/>
                <w:szCs w:val="20"/>
                <w:color w:val="auto"/>
              </w:rPr>
            </w:pPr>
            <w:r>
              <w:rPr>
                <w:rFonts w:ascii="Arial" w:cs="Arial" w:eastAsia="Arial" w:hAnsi="Arial"/>
                <w:sz w:val="16"/>
                <w:szCs w:val="16"/>
                <w:color w:val="auto"/>
              </w:rPr>
              <w:t>105% (% vs. PY)</w:t>
            </w:r>
          </w:p>
        </w:tc>
        <w:tc>
          <w:tcPr>
            <w:tcW w:w="2560" w:type="dxa"/>
            <w:vAlign w:val="bottom"/>
            <w:tcBorders>
              <w:bottom w:val="single" w:sz="8" w:color="BCBEC0"/>
            </w:tcBorders>
          </w:tcPr>
          <w:p>
            <w:pPr>
              <w:jc w:val="right"/>
              <w:ind w:right="299"/>
              <w:spacing w:after="0"/>
              <w:rPr>
                <w:sz w:val="20"/>
                <w:szCs w:val="20"/>
                <w:color w:val="auto"/>
              </w:rPr>
            </w:pPr>
            <w:r>
              <w:rPr>
                <w:rFonts w:ascii="Arial" w:cs="Arial" w:eastAsia="Arial" w:hAnsi="Arial"/>
                <w:sz w:val="16"/>
                <w:szCs w:val="16"/>
                <w:color w:val="auto"/>
              </w:rPr>
              <w:t>93%</w:t>
            </w:r>
          </w:p>
        </w:tc>
        <w:tc>
          <w:tcPr>
            <w:tcW w:w="11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77%</w:t>
            </w:r>
          </w:p>
        </w:tc>
      </w:tr>
      <w:tr>
        <w:trPr>
          <w:trHeight w:val="183"/>
        </w:trPr>
        <w:tc>
          <w:tcPr>
            <w:tcW w:w="484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Operating Cash Flow</w:t>
            </w:r>
          </w:p>
        </w:tc>
        <w:tc>
          <w:tcPr>
            <w:tcW w:w="2660" w:type="dxa"/>
            <w:vAlign w:val="bottom"/>
            <w:tcBorders>
              <w:bottom w:val="single" w:sz="8" w:color="BCBEC0"/>
            </w:tcBorders>
          </w:tcPr>
          <w:p>
            <w:pPr>
              <w:jc w:val="right"/>
              <w:ind w:right="319"/>
              <w:spacing w:after="0" w:line="183" w:lineRule="exact"/>
              <w:rPr>
                <w:sz w:val="20"/>
                <w:szCs w:val="20"/>
                <w:color w:val="auto"/>
              </w:rPr>
            </w:pPr>
            <w:r>
              <w:rPr>
                <w:rFonts w:ascii="Arial" w:cs="Arial" w:eastAsia="Arial" w:hAnsi="Arial"/>
                <w:sz w:val="16"/>
                <w:szCs w:val="16"/>
                <w:color w:val="auto"/>
              </w:rPr>
              <w:t>102% (% of OP)</w:t>
            </w:r>
          </w:p>
        </w:tc>
        <w:tc>
          <w:tcPr>
            <w:tcW w:w="256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95%</w:t>
            </w:r>
          </w:p>
        </w:tc>
        <w:tc>
          <w:tcPr>
            <w:tcW w:w="11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87%</w:t>
            </w:r>
          </w:p>
        </w:tc>
      </w:tr>
      <w:tr>
        <w:trPr>
          <w:trHeight w:val="183"/>
        </w:trPr>
        <w:tc>
          <w:tcPr>
            <w:tcW w:w="484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Blended Payout for Segment Level Financial Metrics</w:t>
            </w:r>
          </w:p>
        </w:tc>
        <w:tc>
          <w:tcPr>
            <w:tcW w:w="2660" w:type="dxa"/>
            <w:vAlign w:val="bottom"/>
            <w:tcBorders>
              <w:bottom w:val="single" w:sz="8" w:color="BCBEC0"/>
            </w:tcBorders>
          </w:tcPr>
          <w:p>
            <w:pPr>
              <w:spacing w:after="0"/>
              <w:rPr>
                <w:sz w:val="15"/>
                <w:szCs w:val="15"/>
                <w:color w:val="auto"/>
              </w:rPr>
            </w:pPr>
          </w:p>
        </w:tc>
        <w:tc>
          <w:tcPr>
            <w:tcW w:w="2560" w:type="dxa"/>
            <w:vAlign w:val="bottom"/>
            <w:tcBorders>
              <w:bottom w:val="single" w:sz="8" w:color="BCBEC0"/>
            </w:tcBorders>
          </w:tcPr>
          <w:p>
            <w:pPr>
              <w:spacing w:after="0"/>
              <w:rPr>
                <w:sz w:val="15"/>
                <w:szCs w:val="15"/>
                <w:color w:val="auto"/>
              </w:rPr>
            </w:pPr>
          </w:p>
        </w:tc>
        <w:tc>
          <w:tcPr>
            <w:tcW w:w="11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b w:val="1"/>
                <w:bCs w:val="1"/>
                <w:color w:val="auto"/>
              </w:rPr>
              <w:t>81%</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Objective Measures</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the end of the annual performance period, Hubbell’s performance on the strategic objectives for 2025 was evaluated to determine the payout percentage for this portion of the NEO’s Short-Term Incentive awards. Over the course of 2025, the Company made progress against all the strategic objectives as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8859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178"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16"/>
          <w:szCs w:val="16"/>
          <w:b w:val="1"/>
          <w:bCs w:val="1"/>
          <w:color w:val="auto"/>
        </w:rPr>
        <w:t>Strategic Objective</w:t>
      </w:r>
      <w:r>
        <w:rPr>
          <w:sz w:val="20"/>
          <w:szCs w:val="20"/>
          <w:color w:val="auto"/>
        </w:rPr>
        <w:tab/>
      </w:r>
      <w:r>
        <w:rPr>
          <w:rFonts w:ascii="Arial" w:cs="Arial" w:eastAsia="Arial" w:hAnsi="Arial"/>
          <w:sz w:val="16"/>
          <w:szCs w:val="16"/>
          <w:b w:val="1"/>
          <w:bCs w:val="1"/>
          <w:color w:val="auto"/>
        </w:rPr>
        <w:t>Achievements</w:t>
      </w:r>
    </w:p>
    <w:p>
      <w:pPr>
        <w:spacing w:after="0" w:line="59"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16"/>
          <w:szCs w:val="16"/>
          <w:b w:val="1"/>
          <w:bCs w:val="1"/>
          <w:color w:val="auto"/>
        </w:rPr>
        <w:t>Serve our Customers</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Improved customer satisfaction and customer responsiveness scores.</w:t>
      </w:r>
    </w:p>
    <w:p>
      <w:pPr>
        <w:spacing w:after="0" w:line="21" w:lineRule="exact"/>
        <w:rPr>
          <w:sz w:val="20"/>
          <w:szCs w:val="20"/>
          <w:color w:val="auto"/>
        </w:rPr>
      </w:pPr>
    </w:p>
    <w:p>
      <w:pPr>
        <w:ind w:left="2420" w:hanging="171"/>
        <w:spacing w:after="0"/>
        <w:tabs>
          <w:tab w:leader="none" w:pos="2420" w:val="left"/>
        </w:tabs>
        <w:numPr>
          <w:ilvl w:val="0"/>
          <w:numId w:val="57"/>
        </w:numPr>
        <w:rPr>
          <w:rFonts w:ascii="Arial" w:cs="Arial" w:eastAsia="Arial" w:hAnsi="Arial"/>
          <w:sz w:val="16"/>
          <w:szCs w:val="16"/>
          <w:color w:val="2F8B9E"/>
        </w:rPr>
      </w:pPr>
      <w:r>
        <w:rPr>
          <w:rFonts w:ascii="Arial" w:cs="Arial" w:eastAsia="Arial" w:hAnsi="Arial"/>
          <w:sz w:val="16"/>
          <w:szCs w:val="16"/>
          <w:color w:val="auto"/>
        </w:rPr>
        <w:t>Expanded the sales pipeline and increased overall channel conversions.</w:t>
      </w:r>
    </w:p>
    <w:p>
      <w:pPr>
        <w:spacing w:after="0" w:line="5" w:lineRule="exact"/>
        <w:rPr>
          <w:rFonts w:ascii="Arial" w:cs="Arial" w:eastAsia="Arial" w:hAnsi="Arial"/>
          <w:sz w:val="16"/>
          <w:szCs w:val="16"/>
          <w:color w:val="2F8B9E"/>
        </w:rPr>
      </w:pPr>
    </w:p>
    <w:p>
      <w:pPr>
        <w:ind w:left="2420" w:hanging="171"/>
        <w:spacing w:after="0"/>
        <w:tabs>
          <w:tab w:leader="none" w:pos="2420" w:val="left"/>
        </w:tabs>
        <w:numPr>
          <w:ilvl w:val="0"/>
          <w:numId w:val="57"/>
        </w:numPr>
        <w:rPr>
          <w:rFonts w:ascii="Arial" w:cs="Arial" w:eastAsia="Arial" w:hAnsi="Arial"/>
          <w:sz w:val="16"/>
          <w:szCs w:val="16"/>
          <w:color w:val="2F8B9E"/>
        </w:rPr>
      </w:pPr>
      <w:r>
        <w:rPr>
          <w:rFonts w:ascii="Arial" w:cs="Arial" w:eastAsia="Arial" w:hAnsi="Arial"/>
          <w:sz w:val="16"/>
          <w:szCs w:val="16"/>
          <w:color w:val="auto"/>
        </w:rPr>
        <w:t>Provided frequent and clear guidance to customers regarding tariff and trade policy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60"/>
        <w:spacing w:after="0"/>
        <w:tabs>
          <w:tab w:leader="none" w:pos="2220" w:val="left"/>
        </w:tabs>
        <w:rPr>
          <w:sz w:val="20"/>
          <w:szCs w:val="20"/>
          <w:color w:val="auto"/>
        </w:rPr>
      </w:pPr>
      <w:r>
        <w:rPr>
          <w:rFonts w:ascii="Arial" w:cs="Arial" w:eastAsia="Arial" w:hAnsi="Arial"/>
          <w:sz w:val="16"/>
          <w:szCs w:val="16"/>
          <w:b w:val="1"/>
          <w:bCs w:val="1"/>
          <w:color w:val="auto"/>
        </w:rPr>
        <w:t>Grow the Enterprise</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Closed on 3 acquisitions (Ventev, Nicor and DMC Power) and 1 disposition (Metron).</w:t>
      </w:r>
    </w:p>
    <w:p>
      <w:pPr>
        <w:spacing w:after="0" w:line="9" w:lineRule="exact"/>
        <w:rPr>
          <w:sz w:val="20"/>
          <w:szCs w:val="20"/>
          <w:color w:val="auto"/>
        </w:rPr>
      </w:pPr>
    </w:p>
    <w:p>
      <w:pPr>
        <w:ind w:left="2420" w:hanging="171"/>
        <w:spacing w:after="0"/>
        <w:tabs>
          <w:tab w:leader="none" w:pos="2420" w:val="left"/>
        </w:tabs>
        <w:numPr>
          <w:ilvl w:val="0"/>
          <w:numId w:val="58"/>
        </w:numPr>
        <w:rPr>
          <w:rFonts w:ascii="Arial" w:cs="Arial" w:eastAsia="Arial" w:hAnsi="Arial"/>
          <w:sz w:val="16"/>
          <w:szCs w:val="16"/>
          <w:color w:val="2F8B9E"/>
        </w:rPr>
      </w:pPr>
      <w:r>
        <w:rPr>
          <w:rFonts w:ascii="Arial" w:cs="Arial" w:eastAsia="Arial" w:hAnsi="Arial"/>
          <w:sz w:val="16"/>
          <w:szCs w:val="16"/>
          <w:color w:val="auto"/>
        </w:rPr>
        <w:t>Continued to grow key end market verticals and increased focus on organic growth.</w:t>
      </w:r>
    </w:p>
    <w:p>
      <w:pPr>
        <w:spacing w:after="0" w:line="14" w:lineRule="exact"/>
        <w:rPr>
          <w:rFonts w:ascii="Arial" w:cs="Arial" w:eastAsia="Arial" w:hAnsi="Arial"/>
          <w:sz w:val="16"/>
          <w:szCs w:val="16"/>
          <w:color w:val="2F8B9E"/>
        </w:rPr>
      </w:pPr>
    </w:p>
    <w:p>
      <w:pPr>
        <w:ind w:left="60"/>
        <w:spacing w:after="0"/>
        <w:rPr>
          <w:rFonts w:ascii="Arial" w:cs="Arial" w:eastAsia="Arial" w:hAnsi="Arial"/>
          <w:sz w:val="16"/>
          <w:szCs w:val="16"/>
          <w:color w:val="2F8B9E"/>
        </w:rPr>
      </w:pPr>
      <w:r>
        <w:rPr>
          <w:rFonts w:ascii="Arial" w:cs="Arial" w:eastAsia="Arial" w:hAnsi="Arial"/>
          <w:sz w:val="16"/>
          <w:szCs w:val="16"/>
          <w:b w:val="1"/>
          <w:bCs w:val="1"/>
          <w:color w:val="auto"/>
        </w:rPr>
        <w:t>Operate with Discipline</w:t>
      </w:r>
      <w:r>
        <w:rPr>
          <w:rFonts w:ascii="Arial" w:cs="Arial" w:eastAsia="Arial" w:hAnsi="Arial"/>
          <w:sz w:val="16"/>
          <w:szCs w:val="16"/>
          <w:color w:val="2F8B9E"/>
        </w:rPr>
        <w:t xml:space="preserve">•  </w:t>
      </w:r>
      <w:r>
        <w:rPr>
          <w:rFonts w:ascii="Arial" w:cs="Arial" w:eastAsia="Arial" w:hAnsi="Arial"/>
          <w:sz w:val="16"/>
          <w:szCs w:val="16"/>
          <w:color w:val="000000"/>
        </w:rPr>
        <w:t>Safety metrics outperformed goals; continued focus on safety across the enterprise.</w:t>
      </w:r>
    </w:p>
    <w:p>
      <w:pPr>
        <w:spacing w:after="0" w:line="8" w:lineRule="exact"/>
        <w:rPr>
          <w:rFonts w:ascii="Arial" w:cs="Arial" w:eastAsia="Arial" w:hAnsi="Arial"/>
          <w:sz w:val="16"/>
          <w:szCs w:val="16"/>
          <w:color w:val="2F8B9E"/>
        </w:rPr>
      </w:pPr>
    </w:p>
    <w:p>
      <w:pPr>
        <w:ind w:left="2420" w:right="360" w:hanging="171"/>
        <w:spacing w:after="0" w:line="252" w:lineRule="auto"/>
        <w:tabs>
          <w:tab w:leader="none" w:pos="2420" w:val="left"/>
        </w:tabs>
        <w:numPr>
          <w:ilvl w:val="0"/>
          <w:numId w:val="58"/>
        </w:numPr>
        <w:rPr>
          <w:rFonts w:ascii="Arial" w:cs="Arial" w:eastAsia="Arial" w:hAnsi="Arial"/>
          <w:sz w:val="16"/>
          <w:szCs w:val="16"/>
          <w:color w:val="2F8B9E"/>
        </w:rPr>
      </w:pPr>
      <w:r>
        <w:rPr>
          <w:rFonts w:ascii="Arial" w:cs="Arial" w:eastAsia="Arial" w:hAnsi="Arial"/>
          <w:sz w:val="16"/>
          <w:szCs w:val="16"/>
          <w:color w:val="auto"/>
        </w:rPr>
        <w:t>Outperformed productivity goals; continued to drive procurement, SIOP (sales, inventory and operations planning) and footprint optimization.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60"/>
        <w:spacing w:after="0"/>
        <w:tabs>
          <w:tab w:leader="none" w:pos="2220" w:val="left"/>
        </w:tabs>
        <w:rPr>
          <w:sz w:val="20"/>
          <w:szCs w:val="20"/>
          <w:color w:val="auto"/>
        </w:rPr>
      </w:pPr>
      <w:r>
        <w:rPr>
          <w:rFonts w:ascii="Arial" w:cs="Arial" w:eastAsia="Arial" w:hAnsi="Arial"/>
          <w:sz w:val="16"/>
          <w:szCs w:val="16"/>
          <w:b w:val="1"/>
          <w:bCs w:val="1"/>
          <w:color w:val="auto"/>
        </w:rPr>
        <w:t>Develop our People</w:t>
      </w:r>
      <w:r>
        <w:rPr>
          <w:sz w:val="20"/>
          <w:szCs w:val="20"/>
          <w:color w:val="auto"/>
        </w:rPr>
        <w:tab/>
      </w:r>
      <w:r>
        <w:rPr>
          <w:rFonts w:ascii="Arial" w:cs="Arial" w:eastAsia="Arial" w:hAnsi="Arial"/>
          <w:sz w:val="16"/>
          <w:szCs w:val="16"/>
          <w:color w:val="2F8B9E"/>
        </w:rPr>
        <w:t xml:space="preserve">•  </w:t>
      </w:r>
      <w:r>
        <w:rPr>
          <w:rFonts w:ascii="Arial" w:cs="Arial" w:eastAsia="Arial" w:hAnsi="Arial"/>
          <w:sz w:val="16"/>
          <w:szCs w:val="16"/>
          <w:color w:val="000000"/>
        </w:rPr>
        <w:t>Continued focus on location metrics that include tailored training, engagement, retention and development plans.</w:t>
      </w:r>
    </w:p>
    <w:p>
      <w:pPr>
        <w:spacing w:after="0" w:line="9" w:lineRule="exact"/>
        <w:rPr>
          <w:sz w:val="20"/>
          <w:szCs w:val="20"/>
          <w:color w:val="auto"/>
        </w:rPr>
      </w:pPr>
    </w:p>
    <w:p>
      <w:pPr>
        <w:ind w:left="2420" w:right="300" w:hanging="171"/>
        <w:spacing w:after="0" w:line="256" w:lineRule="auto"/>
        <w:tabs>
          <w:tab w:leader="none" w:pos="2420" w:val="left"/>
        </w:tabs>
        <w:numPr>
          <w:ilvl w:val="0"/>
          <w:numId w:val="59"/>
        </w:numPr>
        <w:rPr>
          <w:rFonts w:ascii="Arial" w:cs="Arial" w:eastAsia="Arial" w:hAnsi="Arial"/>
          <w:sz w:val="16"/>
          <w:szCs w:val="16"/>
          <w:color w:val="2F8B9E"/>
        </w:rPr>
      </w:pPr>
      <w:r>
        <w:rPr>
          <w:rFonts w:ascii="Arial" w:cs="Arial" w:eastAsia="Arial" w:hAnsi="Arial"/>
          <w:sz w:val="16"/>
          <w:szCs w:val="16"/>
          <w:color w:val="auto"/>
        </w:rPr>
        <w:t>Ongoing focus on employee development and succession planning exemplified by the successful transition of the long-time Chief Financial Officer (William R. Sperry) and the appointment of his successor (Joseph A. Capozzoli) effective January 1, 2026.</w:t>
      </w:r>
    </w:p>
    <w:p>
      <w:pPr>
        <w:spacing w:after="0" w:line="16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achievements in each of the four strategic pillars were assessed on a scale of 0 - 200%. The four ratings were then averaged with equal weighting to determine a final payout percentage. Based on the strong performance outlined above, the weighted average across all four objectives for 2025 resulted in a 110% payout for this strategic component.</w:t>
      </w:r>
    </w:p>
    <w:p>
      <w:pPr>
        <w:spacing w:after="0" w:line="14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48</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to leadership on the enterprise-wide objectives as described above, factors considered by the Board and the Compensation Committee in evaluating the CEO’s strategic performance include objectives targeted to Hubbell’s vision to be a valued investment and an exceptional customer partner. In considering Mr. Bakker’s performance in such areas, and in light of the overall assessment of the enterprise as described above, the Compensation Committee approved a 110% payout for Mr. Bakker for the strategic portion of his STI award.</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w:t>
      </w:r>
      <w:r>
        <w:rPr>
          <w:rFonts w:ascii="Arial" w:cs="Arial" w:eastAsia="Arial" w:hAnsi="Arial"/>
          <w:sz w:val="22"/>
          <w:szCs w:val="22"/>
          <w:color w:val="auto"/>
        </w:rPr>
        <w:t>-</w:t>
      </w:r>
      <w:r>
        <w:rPr>
          <w:rFonts w:ascii="Arial" w:cs="Arial" w:eastAsia="Arial" w:hAnsi="Arial"/>
          <w:sz w:val="22"/>
          <w:szCs w:val="22"/>
          <w:b w:val="1"/>
          <w:bCs w:val="1"/>
          <w:color w:val="auto"/>
        </w:rPr>
        <w:t>Term Incentive Payouts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shows the STI award earned by each of the NEOs. These amounts also appear in the Non-Equity Incentive Plan Compensation column of the Summary Compensation Table on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9169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32320" cy="916940"/>
                    </a:xfrm>
                    <a:prstGeom prst="rect">
                      <a:avLst/>
                    </a:prstGeom>
                    <a:noFill/>
                  </pic:spPr>
                </pic:pic>
              </a:graphicData>
            </a:graphic>
          </wp:anchor>
        </w:drawing>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Performance Measures/Results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600" w:type="dxa"/>
            <w:vAlign w:val="bottom"/>
          </w:tcPr>
          <w:p>
            <w:pPr>
              <w:spacing w:after="0"/>
              <w:rPr>
                <w:sz w:val="14"/>
                <w:szCs w:val="14"/>
                <w:color w:val="auto"/>
              </w:rPr>
            </w:pPr>
          </w:p>
        </w:tc>
        <w:tc>
          <w:tcPr>
            <w:tcW w:w="220" w:type="dxa"/>
            <w:vAlign w:val="bottom"/>
            <w:tcBorders>
              <w:top w:val="single" w:sz="8" w:color="FFE933"/>
            </w:tcBorders>
            <w:shd w:val="clear" w:color="auto" w:fill="FFE933"/>
          </w:tcPr>
          <w:p>
            <w:pPr>
              <w:spacing w:after="0"/>
              <w:rPr>
                <w:sz w:val="14"/>
                <w:szCs w:val="14"/>
                <w:color w:val="auto"/>
              </w:rPr>
            </w:pPr>
          </w:p>
        </w:tc>
        <w:tc>
          <w:tcPr>
            <w:tcW w:w="1980" w:type="dxa"/>
            <w:vAlign w:val="bottom"/>
            <w:tcBorders>
              <w:top w:val="single" w:sz="8" w:color="auto"/>
            </w:tcBorders>
            <w:shd w:val="clear" w:color="auto" w:fill="FFE933"/>
          </w:tcPr>
          <w:p>
            <w:pPr>
              <w:spacing w:after="0"/>
              <w:rPr>
                <w:sz w:val="14"/>
                <w:szCs w:val="14"/>
                <w:color w:val="auto"/>
              </w:rPr>
            </w:pPr>
          </w:p>
        </w:tc>
        <w:tc>
          <w:tcPr>
            <w:tcW w:w="1320" w:type="dxa"/>
            <w:vAlign w:val="bottom"/>
            <w:tcBorders>
              <w:top w:val="single" w:sz="8" w:color="auto"/>
            </w:tcBorders>
            <w:shd w:val="clear" w:color="auto" w:fill="FFE933"/>
          </w:tcPr>
          <w:p>
            <w:pPr>
              <w:jc w:val="right"/>
              <w:ind w:right="159"/>
              <w:spacing w:after="0" w:line="168" w:lineRule="exact"/>
              <w:rPr>
                <w:sz w:val="20"/>
                <w:szCs w:val="20"/>
                <w:color w:val="auto"/>
              </w:rPr>
            </w:pPr>
            <w:r>
              <w:rPr>
                <w:rFonts w:ascii="Arial" w:cs="Arial" w:eastAsia="Arial" w:hAnsi="Arial"/>
                <w:sz w:val="16"/>
                <w:szCs w:val="16"/>
                <w:b w:val="1"/>
                <w:bCs w:val="1"/>
                <w:color w:val="auto"/>
              </w:rPr>
              <w:t>Operating</w:t>
            </w:r>
          </w:p>
        </w:tc>
        <w:tc>
          <w:tcPr>
            <w:tcW w:w="1360" w:type="dxa"/>
            <w:vAlign w:val="bottom"/>
            <w:tcBorders>
              <w:top w:val="single" w:sz="8" w:color="auto"/>
            </w:tcBorders>
            <w:shd w:val="clear" w:color="auto" w:fill="FFE933"/>
          </w:tcPr>
          <w:p>
            <w:pPr>
              <w:spacing w:after="0"/>
              <w:rPr>
                <w:sz w:val="14"/>
                <w:szCs w:val="14"/>
                <w:color w:val="auto"/>
              </w:rPr>
            </w:pPr>
          </w:p>
        </w:tc>
        <w:tc>
          <w:tcPr>
            <w:tcW w:w="1080" w:type="dxa"/>
            <w:vAlign w:val="bottom"/>
            <w:tcBorders>
              <w:top w:val="single" w:sz="8" w:color="auto"/>
            </w:tcBorders>
            <w:shd w:val="clear" w:color="auto" w:fill="FFE933"/>
          </w:tcPr>
          <w:p>
            <w:pPr>
              <w:spacing w:after="0"/>
              <w:rPr>
                <w:sz w:val="14"/>
                <w:szCs w:val="14"/>
                <w:color w:val="auto"/>
              </w:rPr>
            </w:pPr>
          </w:p>
        </w:tc>
        <w:tc>
          <w:tcPr>
            <w:tcW w:w="420" w:type="dxa"/>
            <w:vAlign w:val="bottom"/>
            <w:tcBorders>
              <w:top w:val="single" w:sz="8" w:color="FFE933"/>
            </w:tcBorders>
            <w:shd w:val="clear" w:color="auto" w:fill="FFE933"/>
          </w:tcPr>
          <w:p>
            <w:pPr>
              <w:spacing w:after="0"/>
              <w:rPr>
                <w:sz w:val="14"/>
                <w:szCs w:val="14"/>
                <w:color w:val="auto"/>
              </w:rPr>
            </w:pPr>
          </w:p>
        </w:tc>
        <w:tc>
          <w:tcPr>
            <w:tcW w:w="1300" w:type="dxa"/>
            <w:vAlign w:val="bottom"/>
            <w:tcBorders>
              <w:top w:val="single" w:sz="8" w:color="FFE933"/>
            </w:tcBorders>
            <w:shd w:val="clear" w:color="auto" w:fill="FFE933"/>
          </w:tcPr>
          <w:p>
            <w:pPr>
              <w:spacing w:after="0"/>
              <w:rPr>
                <w:sz w:val="14"/>
                <w:szCs w:val="14"/>
                <w:color w:val="auto"/>
              </w:rPr>
            </w:pPr>
          </w:p>
        </w:tc>
        <w:tc>
          <w:tcPr>
            <w:tcW w:w="960" w:type="dxa"/>
            <w:vAlign w:val="bottom"/>
            <w:tcBorders>
              <w:top w:val="single" w:sz="8" w:color="FFE933"/>
            </w:tcBorders>
            <w:shd w:val="clear" w:color="auto" w:fill="FFE933"/>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20" w:type="dxa"/>
            <w:vAlign w:val="bottom"/>
            <w:shd w:val="clear" w:color="auto" w:fill="FFE933"/>
          </w:tcPr>
          <w:p>
            <w:pPr>
              <w:spacing w:after="0"/>
              <w:rPr>
                <w:sz w:val="16"/>
                <w:szCs w:val="16"/>
                <w:color w:val="auto"/>
              </w:rPr>
            </w:pPr>
          </w:p>
        </w:tc>
        <w:tc>
          <w:tcPr>
            <w:tcW w:w="1980" w:type="dxa"/>
            <w:vAlign w:val="bottom"/>
            <w:vMerge w:val="restart"/>
            <w:shd w:val="clear" w:color="auto" w:fill="FFE933"/>
          </w:tcPr>
          <w:p>
            <w:pPr>
              <w:jc w:val="right"/>
              <w:ind w:right="200"/>
              <w:spacing w:after="0"/>
              <w:rPr>
                <w:sz w:val="20"/>
                <w:szCs w:val="20"/>
                <w:color w:val="auto"/>
              </w:rPr>
            </w:pPr>
            <w:r>
              <w:rPr>
                <w:rFonts w:ascii="Arial" w:cs="Arial" w:eastAsia="Arial" w:hAnsi="Arial"/>
                <w:sz w:val="16"/>
                <w:szCs w:val="16"/>
                <w:b w:val="1"/>
                <w:bCs w:val="1"/>
                <w:color w:val="auto"/>
              </w:rPr>
              <w:t>Adjusted Earnings</w:t>
            </w:r>
          </w:p>
        </w:tc>
        <w:tc>
          <w:tcPr>
            <w:tcW w:w="1320" w:type="dxa"/>
            <w:vAlign w:val="bottom"/>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Profit and</w:t>
            </w:r>
          </w:p>
        </w:tc>
        <w:tc>
          <w:tcPr>
            <w:tcW w:w="1360" w:type="dxa"/>
            <w:vAlign w:val="bottom"/>
            <w:shd w:val="clear" w:color="auto" w:fill="FFE933"/>
          </w:tcPr>
          <w:p>
            <w:pPr>
              <w:spacing w:after="0"/>
              <w:rPr>
                <w:sz w:val="16"/>
                <w:szCs w:val="16"/>
                <w:color w:val="auto"/>
              </w:rPr>
            </w:pPr>
          </w:p>
        </w:tc>
        <w:tc>
          <w:tcPr>
            <w:tcW w:w="1080" w:type="dxa"/>
            <w:vAlign w:val="bottom"/>
            <w:shd w:val="clear" w:color="auto" w:fill="FFE933"/>
          </w:tcPr>
          <w:p>
            <w:pPr>
              <w:spacing w:after="0"/>
              <w:rPr>
                <w:sz w:val="16"/>
                <w:szCs w:val="16"/>
                <w:color w:val="auto"/>
              </w:rPr>
            </w:pPr>
          </w:p>
        </w:tc>
        <w:tc>
          <w:tcPr>
            <w:tcW w:w="420" w:type="dxa"/>
            <w:vAlign w:val="bottom"/>
            <w:shd w:val="clear" w:color="auto" w:fill="FFE933"/>
          </w:tcPr>
          <w:p>
            <w:pPr>
              <w:spacing w:after="0"/>
              <w:rPr>
                <w:sz w:val="16"/>
                <w:szCs w:val="16"/>
                <w:color w:val="auto"/>
              </w:rPr>
            </w:pPr>
          </w:p>
        </w:tc>
        <w:tc>
          <w:tcPr>
            <w:tcW w:w="1300" w:type="dxa"/>
            <w:vAlign w:val="bottom"/>
            <w:shd w:val="clear" w:color="auto" w:fill="FFE933"/>
          </w:tcPr>
          <w:p>
            <w:pPr>
              <w:spacing w:after="0"/>
              <w:rPr>
                <w:sz w:val="16"/>
                <w:szCs w:val="16"/>
                <w:color w:val="auto"/>
              </w:rPr>
            </w:pPr>
          </w:p>
        </w:tc>
        <w:tc>
          <w:tcPr>
            <w:tcW w:w="960" w:type="dxa"/>
            <w:vAlign w:val="bottom"/>
            <w:shd w:val="clear" w:color="auto" w:fill="FFE933"/>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600" w:type="dxa"/>
            <w:vAlign w:val="bottom"/>
          </w:tcPr>
          <w:p>
            <w:pPr>
              <w:spacing w:after="0"/>
              <w:rPr>
                <w:sz w:val="9"/>
                <w:szCs w:val="9"/>
                <w:color w:val="auto"/>
              </w:rPr>
            </w:pPr>
          </w:p>
        </w:tc>
        <w:tc>
          <w:tcPr>
            <w:tcW w:w="220" w:type="dxa"/>
            <w:vAlign w:val="bottom"/>
            <w:shd w:val="clear" w:color="auto" w:fill="FFE933"/>
          </w:tcPr>
          <w:p>
            <w:pPr>
              <w:spacing w:after="0"/>
              <w:rPr>
                <w:sz w:val="9"/>
                <w:szCs w:val="9"/>
                <w:color w:val="auto"/>
              </w:rPr>
            </w:pPr>
          </w:p>
        </w:tc>
        <w:tc>
          <w:tcPr>
            <w:tcW w:w="1980" w:type="dxa"/>
            <w:vAlign w:val="bottom"/>
            <w:vMerge w:val="continue"/>
            <w:shd w:val="clear" w:color="auto" w:fill="FFE933"/>
          </w:tcPr>
          <w:p>
            <w:pPr>
              <w:spacing w:after="0"/>
              <w:rPr>
                <w:sz w:val="9"/>
                <w:szCs w:val="9"/>
                <w:color w:val="auto"/>
              </w:rPr>
            </w:pPr>
          </w:p>
        </w:tc>
        <w:tc>
          <w:tcPr>
            <w:tcW w:w="1320" w:type="dxa"/>
            <w:vAlign w:val="bottom"/>
            <w:vMerge w:val="restart"/>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Operating</w:t>
            </w:r>
          </w:p>
        </w:tc>
        <w:tc>
          <w:tcPr>
            <w:tcW w:w="1360" w:type="dxa"/>
            <w:vAlign w:val="bottom"/>
            <w:shd w:val="clear" w:color="auto" w:fill="FFE933"/>
          </w:tcPr>
          <w:p>
            <w:pPr>
              <w:spacing w:after="0"/>
              <w:rPr>
                <w:sz w:val="9"/>
                <w:szCs w:val="9"/>
                <w:color w:val="auto"/>
              </w:rPr>
            </w:pPr>
          </w:p>
        </w:tc>
        <w:tc>
          <w:tcPr>
            <w:tcW w:w="1080" w:type="dxa"/>
            <w:vAlign w:val="bottom"/>
            <w:shd w:val="clear" w:color="auto" w:fill="FFE933"/>
          </w:tcPr>
          <w:p>
            <w:pPr>
              <w:spacing w:after="0"/>
              <w:rPr>
                <w:sz w:val="9"/>
                <w:szCs w:val="9"/>
                <w:color w:val="auto"/>
              </w:rPr>
            </w:pPr>
          </w:p>
        </w:tc>
        <w:tc>
          <w:tcPr>
            <w:tcW w:w="420" w:type="dxa"/>
            <w:vAlign w:val="bottom"/>
            <w:shd w:val="clear" w:color="auto" w:fill="FFE933"/>
          </w:tcPr>
          <w:p>
            <w:pPr>
              <w:spacing w:after="0"/>
              <w:rPr>
                <w:sz w:val="9"/>
                <w:szCs w:val="9"/>
                <w:color w:val="auto"/>
              </w:rPr>
            </w:pPr>
          </w:p>
        </w:tc>
        <w:tc>
          <w:tcPr>
            <w:tcW w:w="1300" w:type="dxa"/>
            <w:vAlign w:val="bottom"/>
            <w:shd w:val="clear" w:color="auto" w:fill="FFE933"/>
          </w:tcPr>
          <w:p>
            <w:pPr>
              <w:spacing w:after="0"/>
              <w:rPr>
                <w:sz w:val="9"/>
                <w:szCs w:val="9"/>
                <w:color w:val="auto"/>
              </w:rPr>
            </w:pPr>
          </w:p>
        </w:tc>
        <w:tc>
          <w:tcPr>
            <w:tcW w:w="960" w:type="dxa"/>
            <w:vAlign w:val="bottom"/>
            <w:shd w:val="clear" w:color="auto" w:fill="FFE933"/>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2600" w:type="dxa"/>
            <w:vAlign w:val="bottom"/>
          </w:tcPr>
          <w:p>
            <w:pPr>
              <w:spacing w:after="0"/>
              <w:rPr>
                <w:sz w:val="7"/>
                <w:szCs w:val="7"/>
                <w:color w:val="auto"/>
              </w:rPr>
            </w:pPr>
          </w:p>
        </w:tc>
        <w:tc>
          <w:tcPr>
            <w:tcW w:w="220" w:type="dxa"/>
            <w:vAlign w:val="bottom"/>
            <w:shd w:val="clear" w:color="auto" w:fill="FFE933"/>
          </w:tcPr>
          <w:p>
            <w:pPr>
              <w:spacing w:after="0"/>
              <w:rPr>
                <w:sz w:val="7"/>
                <w:szCs w:val="7"/>
                <w:color w:val="auto"/>
              </w:rPr>
            </w:pPr>
          </w:p>
        </w:tc>
        <w:tc>
          <w:tcPr>
            <w:tcW w:w="1980" w:type="dxa"/>
            <w:vAlign w:val="bottom"/>
            <w:vMerge w:val="restart"/>
            <w:shd w:val="clear" w:color="auto" w:fill="FFE933"/>
          </w:tcPr>
          <w:p>
            <w:pPr>
              <w:jc w:val="right"/>
              <w:ind w:right="240"/>
              <w:spacing w:after="0" w:line="245"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6"/>
                <w:szCs w:val="26"/>
                <w:b w:val="1"/>
                <w:bCs w:val="1"/>
                <w:color w:val="auto"/>
                <w:vertAlign w:val="superscript"/>
              </w:rPr>
              <w:t>(1)</w:t>
            </w:r>
            <w:r>
              <w:rPr>
                <w:rFonts w:ascii="Arial" w:cs="Arial" w:eastAsia="Arial" w:hAnsi="Arial"/>
                <w:sz w:val="16"/>
                <w:szCs w:val="16"/>
                <w:b w:val="1"/>
                <w:bCs w:val="1"/>
                <w:color w:val="auto"/>
              </w:rPr>
              <w:t xml:space="preserve"> and</w:t>
            </w:r>
          </w:p>
        </w:tc>
        <w:tc>
          <w:tcPr>
            <w:tcW w:w="1320" w:type="dxa"/>
            <w:vAlign w:val="bottom"/>
            <w:vMerge w:val="continue"/>
            <w:shd w:val="clear" w:color="auto" w:fill="FFE933"/>
          </w:tcPr>
          <w:p>
            <w:pPr>
              <w:spacing w:after="0"/>
              <w:rPr>
                <w:sz w:val="7"/>
                <w:szCs w:val="7"/>
                <w:color w:val="auto"/>
              </w:rPr>
            </w:pPr>
          </w:p>
        </w:tc>
        <w:tc>
          <w:tcPr>
            <w:tcW w:w="1360" w:type="dxa"/>
            <w:vAlign w:val="bottom"/>
            <w:shd w:val="clear" w:color="auto" w:fill="FFE933"/>
          </w:tcPr>
          <w:p>
            <w:pPr>
              <w:spacing w:after="0"/>
              <w:rPr>
                <w:sz w:val="7"/>
                <w:szCs w:val="7"/>
                <w:color w:val="auto"/>
              </w:rPr>
            </w:pPr>
          </w:p>
        </w:tc>
        <w:tc>
          <w:tcPr>
            <w:tcW w:w="1080" w:type="dxa"/>
            <w:vAlign w:val="bottom"/>
            <w:shd w:val="clear" w:color="auto" w:fill="FFE933"/>
          </w:tcPr>
          <w:p>
            <w:pPr>
              <w:spacing w:after="0"/>
              <w:rPr>
                <w:sz w:val="7"/>
                <w:szCs w:val="7"/>
                <w:color w:val="auto"/>
              </w:rPr>
            </w:pPr>
          </w:p>
        </w:tc>
        <w:tc>
          <w:tcPr>
            <w:tcW w:w="420" w:type="dxa"/>
            <w:vAlign w:val="bottom"/>
            <w:shd w:val="clear" w:color="auto" w:fill="FFE933"/>
          </w:tcPr>
          <w:p>
            <w:pPr>
              <w:spacing w:after="0"/>
              <w:rPr>
                <w:sz w:val="7"/>
                <w:szCs w:val="7"/>
                <w:color w:val="auto"/>
              </w:rPr>
            </w:pPr>
          </w:p>
        </w:tc>
        <w:tc>
          <w:tcPr>
            <w:tcW w:w="1300" w:type="dxa"/>
            <w:vAlign w:val="bottom"/>
            <w:shd w:val="clear" w:color="auto" w:fill="FFE933"/>
          </w:tcPr>
          <w:p>
            <w:pPr>
              <w:spacing w:after="0"/>
              <w:rPr>
                <w:sz w:val="7"/>
                <w:szCs w:val="7"/>
                <w:color w:val="auto"/>
              </w:rPr>
            </w:pPr>
          </w:p>
        </w:tc>
        <w:tc>
          <w:tcPr>
            <w:tcW w:w="960" w:type="dxa"/>
            <w:vAlign w:val="bottom"/>
            <w:shd w:val="clear" w:color="auto" w:fill="FFE933"/>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600" w:type="dxa"/>
            <w:vAlign w:val="bottom"/>
          </w:tcPr>
          <w:p>
            <w:pPr>
              <w:spacing w:after="0"/>
              <w:rPr>
                <w:sz w:val="14"/>
                <w:szCs w:val="14"/>
                <w:color w:val="auto"/>
              </w:rPr>
            </w:pPr>
          </w:p>
        </w:tc>
        <w:tc>
          <w:tcPr>
            <w:tcW w:w="220" w:type="dxa"/>
            <w:vAlign w:val="bottom"/>
            <w:shd w:val="clear" w:color="auto" w:fill="FFE933"/>
          </w:tcPr>
          <w:p>
            <w:pPr>
              <w:spacing w:after="0"/>
              <w:rPr>
                <w:sz w:val="14"/>
                <w:szCs w:val="14"/>
                <w:color w:val="auto"/>
              </w:rPr>
            </w:pPr>
          </w:p>
        </w:tc>
        <w:tc>
          <w:tcPr>
            <w:tcW w:w="1980" w:type="dxa"/>
            <w:vAlign w:val="bottom"/>
            <w:vMerge w:val="continue"/>
            <w:shd w:val="clear" w:color="auto" w:fill="FFE933"/>
          </w:tcPr>
          <w:p>
            <w:pPr>
              <w:spacing w:after="0"/>
              <w:rPr>
                <w:sz w:val="14"/>
                <w:szCs w:val="14"/>
                <w:color w:val="auto"/>
              </w:rPr>
            </w:pPr>
          </w:p>
        </w:tc>
        <w:tc>
          <w:tcPr>
            <w:tcW w:w="1320" w:type="dxa"/>
            <w:vAlign w:val="bottom"/>
            <w:shd w:val="clear" w:color="auto" w:fill="FFE933"/>
          </w:tcPr>
          <w:p>
            <w:pPr>
              <w:jc w:val="right"/>
              <w:ind w:right="159"/>
              <w:spacing w:after="0" w:line="163" w:lineRule="exact"/>
              <w:rPr>
                <w:sz w:val="20"/>
                <w:szCs w:val="20"/>
                <w:color w:val="auto"/>
              </w:rPr>
            </w:pPr>
            <w:r>
              <w:rPr>
                <w:rFonts w:ascii="Arial" w:cs="Arial" w:eastAsia="Arial" w:hAnsi="Arial"/>
                <w:sz w:val="16"/>
                <w:szCs w:val="16"/>
                <w:b w:val="1"/>
                <w:bCs w:val="1"/>
                <w:color w:val="auto"/>
              </w:rPr>
              <w:t>Cash Flow</w:t>
            </w:r>
          </w:p>
        </w:tc>
        <w:tc>
          <w:tcPr>
            <w:tcW w:w="1360" w:type="dxa"/>
            <w:vAlign w:val="bottom"/>
            <w:shd w:val="clear" w:color="auto" w:fill="FFE933"/>
          </w:tcPr>
          <w:p>
            <w:pPr>
              <w:jc w:val="right"/>
              <w:ind w:right="159"/>
              <w:spacing w:after="0" w:line="163" w:lineRule="exact"/>
              <w:rPr>
                <w:sz w:val="20"/>
                <w:szCs w:val="20"/>
                <w:color w:val="auto"/>
              </w:rPr>
            </w:pPr>
            <w:r>
              <w:rPr>
                <w:rFonts w:ascii="Arial" w:cs="Arial" w:eastAsia="Arial" w:hAnsi="Arial"/>
                <w:sz w:val="16"/>
                <w:szCs w:val="16"/>
                <w:b w:val="1"/>
                <w:bCs w:val="1"/>
                <w:color w:val="auto"/>
              </w:rPr>
              <w:t>Strategic</w:t>
            </w:r>
          </w:p>
        </w:tc>
        <w:tc>
          <w:tcPr>
            <w:tcW w:w="1500" w:type="dxa"/>
            <w:vAlign w:val="bottom"/>
            <w:gridSpan w:val="2"/>
            <w:shd w:val="clear" w:color="auto" w:fill="FFE933"/>
          </w:tcPr>
          <w:p>
            <w:pPr>
              <w:jc w:val="right"/>
              <w:ind w:right="420"/>
              <w:spacing w:after="0" w:line="163" w:lineRule="exact"/>
              <w:rPr>
                <w:sz w:val="20"/>
                <w:szCs w:val="20"/>
                <w:color w:val="auto"/>
              </w:rPr>
            </w:pPr>
            <w:r>
              <w:rPr>
                <w:rFonts w:ascii="Arial" w:cs="Arial" w:eastAsia="Arial" w:hAnsi="Arial"/>
                <w:sz w:val="16"/>
                <w:szCs w:val="16"/>
                <w:b w:val="1"/>
                <w:bCs w:val="1"/>
                <w:color w:val="auto"/>
              </w:rPr>
              <w:t>Total</w:t>
            </w:r>
          </w:p>
        </w:tc>
        <w:tc>
          <w:tcPr>
            <w:tcW w:w="1300" w:type="dxa"/>
            <w:vAlign w:val="bottom"/>
            <w:shd w:val="clear" w:color="auto" w:fill="FFE933"/>
          </w:tcPr>
          <w:p>
            <w:pPr>
              <w:spacing w:after="0"/>
              <w:rPr>
                <w:sz w:val="14"/>
                <w:szCs w:val="14"/>
                <w:color w:val="auto"/>
              </w:rPr>
            </w:pPr>
          </w:p>
        </w:tc>
        <w:tc>
          <w:tcPr>
            <w:tcW w:w="960" w:type="dxa"/>
            <w:vAlign w:val="bottom"/>
            <w:shd w:val="clear" w:color="auto" w:fill="FFE933"/>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00" w:type="dxa"/>
            <w:vAlign w:val="bottom"/>
          </w:tcPr>
          <w:p>
            <w:pPr>
              <w:spacing w:after="0"/>
              <w:rPr>
                <w:sz w:val="18"/>
                <w:szCs w:val="18"/>
                <w:color w:val="auto"/>
              </w:rPr>
            </w:pPr>
          </w:p>
        </w:tc>
        <w:tc>
          <w:tcPr>
            <w:tcW w:w="220" w:type="dxa"/>
            <w:vAlign w:val="bottom"/>
            <w:shd w:val="clear" w:color="auto" w:fill="FFE933"/>
          </w:tcPr>
          <w:p>
            <w:pPr>
              <w:spacing w:after="0"/>
              <w:rPr>
                <w:sz w:val="18"/>
                <w:szCs w:val="18"/>
                <w:color w:val="auto"/>
              </w:rPr>
            </w:pPr>
          </w:p>
        </w:tc>
        <w:tc>
          <w:tcPr>
            <w:tcW w:w="1980" w:type="dxa"/>
            <w:vAlign w:val="bottom"/>
            <w:shd w:val="clear" w:color="auto" w:fill="FFE933"/>
          </w:tcPr>
          <w:p>
            <w:pPr>
              <w:jc w:val="right"/>
              <w:ind w:right="200"/>
              <w:spacing w:after="0" w:line="216" w:lineRule="exact"/>
              <w:rPr>
                <w:sz w:val="20"/>
                <w:szCs w:val="20"/>
                <w:color w:val="auto"/>
              </w:rPr>
            </w:pPr>
            <w:r>
              <w:rPr>
                <w:rFonts w:ascii="Arial" w:cs="Arial" w:eastAsia="Arial" w:hAnsi="Arial"/>
                <w:sz w:val="15"/>
                <w:szCs w:val="15"/>
                <w:b w:val="1"/>
                <w:bCs w:val="1"/>
                <w:color w:val="auto"/>
              </w:rPr>
              <w:t>Free Cash Flow</w:t>
            </w:r>
            <w:r>
              <w:rPr>
                <w:rFonts w:ascii="Arial" w:cs="Arial" w:eastAsia="Arial" w:hAnsi="Arial"/>
                <w:sz w:val="24"/>
                <w:szCs w:val="24"/>
                <w:b w:val="1"/>
                <w:bCs w:val="1"/>
                <w:color w:val="auto"/>
                <w:vertAlign w:val="superscript"/>
              </w:rPr>
              <w:t>(1)</w:t>
            </w:r>
          </w:p>
        </w:tc>
        <w:tc>
          <w:tcPr>
            <w:tcW w:w="1320" w:type="dxa"/>
            <w:vAlign w:val="bottom"/>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(Segment</w:t>
            </w:r>
          </w:p>
        </w:tc>
        <w:tc>
          <w:tcPr>
            <w:tcW w:w="1360" w:type="dxa"/>
            <w:vAlign w:val="bottom"/>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Objectives</w:t>
            </w:r>
          </w:p>
        </w:tc>
        <w:tc>
          <w:tcPr>
            <w:tcW w:w="1500" w:type="dxa"/>
            <w:vAlign w:val="bottom"/>
            <w:gridSpan w:val="2"/>
            <w:shd w:val="clear" w:color="auto" w:fill="FFE933"/>
          </w:tcPr>
          <w:p>
            <w:pPr>
              <w:jc w:val="right"/>
              <w:ind w:right="140"/>
              <w:spacing w:after="0"/>
              <w:rPr>
                <w:sz w:val="20"/>
                <w:szCs w:val="20"/>
                <w:color w:val="auto"/>
              </w:rPr>
            </w:pPr>
            <w:r>
              <w:rPr>
                <w:rFonts w:ascii="Arial" w:cs="Arial" w:eastAsia="Arial" w:hAnsi="Arial"/>
                <w:sz w:val="16"/>
                <w:szCs w:val="16"/>
                <w:b w:val="1"/>
                <w:bCs w:val="1"/>
                <w:color w:val="auto"/>
              </w:rPr>
              <w:t xml:space="preserve">Composite  </w:t>
            </w:r>
            <w:r>
              <w:rPr>
                <w:rFonts w:ascii="Arial" w:cs="Arial" w:eastAsia="Arial" w:hAnsi="Arial"/>
                <w:sz w:val="16"/>
                <w:szCs w:val="16"/>
                <w:b w:val="1"/>
                <w:bCs w:val="1"/>
                <w:color w:val="2F8B9E"/>
              </w:rPr>
              <w:t>x</w:t>
            </w:r>
          </w:p>
        </w:tc>
        <w:tc>
          <w:tcPr>
            <w:tcW w:w="1300" w:type="dxa"/>
            <w:vAlign w:val="bottom"/>
            <w:shd w:val="clear" w:color="auto" w:fill="FFE933"/>
          </w:tcPr>
          <w:p>
            <w:pPr>
              <w:jc w:val="right"/>
              <w:ind w:right="19"/>
              <w:spacing w:after="0"/>
              <w:rPr>
                <w:sz w:val="20"/>
                <w:szCs w:val="20"/>
                <w:color w:val="auto"/>
              </w:rPr>
            </w:pPr>
            <w:r>
              <w:rPr>
                <w:rFonts w:ascii="Arial" w:cs="Arial" w:eastAsia="Arial" w:hAnsi="Arial"/>
                <w:sz w:val="16"/>
                <w:szCs w:val="16"/>
                <w:b w:val="1"/>
                <w:bCs w:val="1"/>
                <w:color w:val="auto"/>
              </w:rPr>
              <w:t xml:space="preserve">STI Target  </w:t>
            </w:r>
            <w:r>
              <w:rPr>
                <w:rFonts w:ascii="Arial" w:cs="Arial" w:eastAsia="Arial" w:hAnsi="Arial"/>
                <w:sz w:val="16"/>
                <w:szCs w:val="16"/>
                <w:color w:val="2F8B9E"/>
              </w:rPr>
              <w:t>=</w:t>
            </w:r>
          </w:p>
        </w:tc>
        <w:tc>
          <w:tcPr>
            <w:tcW w:w="96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STI Award</w:t>
            </w:r>
          </w:p>
        </w:tc>
        <w:tc>
          <w:tcPr>
            <w:tcW w:w="0" w:type="dxa"/>
            <w:vAlign w:val="bottom"/>
          </w:tcPr>
          <w:p>
            <w:pPr>
              <w:spacing w:after="0"/>
              <w:rPr>
                <w:sz w:val="1"/>
                <w:szCs w:val="1"/>
                <w:color w:val="auto"/>
              </w:rPr>
            </w:pPr>
          </w:p>
        </w:tc>
      </w:tr>
      <w:tr>
        <w:trPr>
          <w:trHeight w:val="237"/>
        </w:trPr>
        <w:tc>
          <w:tcPr>
            <w:tcW w:w="2600" w:type="dxa"/>
            <w:vAlign w:val="bottom"/>
          </w:tcPr>
          <w:p>
            <w:pPr>
              <w:spacing w:after="0"/>
              <w:rPr>
                <w:sz w:val="20"/>
                <w:szCs w:val="20"/>
                <w:color w:val="auto"/>
              </w:rPr>
            </w:pPr>
          </w:p>
        </w:tc>
        <w:tc>
          <w:tcPr>
            <w:tcW w:w="220" w:type="dxa"/>
            <w:vAlign w:val="bottom"/>
            <w:tcBorders>
              <w:bottom w:val="single" w:sz="8" w:color="FFE933"/>
            </w:tcBorders>
            <w:shd w:val="clear" w:color="auto" w:fill="FFE933"/>
          </w:tcPr>
          <w:p>
            <w:pPr>
              <w:spacing w:after="0"/>
              <w:rPr>
                <w:sz w:val="20"/>
                <w:szCs w:val="20"/>
                <w:color w:val="auto"/>
              </w:rPr>
            </w:pPr>
          </w:p>
        </w:tc>
        <w:tc>
          <w:tcPr>
            <w:tcW w:w="1980" w:type="dxa"/>
            <w:vAlign w:val="bottom"/>
            <w:tcBorders>
              <w:bottom w:val="single" w:sz="8" w:color="FFE933"/>
            </w:tcBorders>
            <w:shd w:val="clear" w:color="auto" w:fill="FFE933"/>
          </w:tcPr>
          <w:p>
            <w:pPr>
              <w:jc w:val="right"/>
              <w:ind w:right="200"/>
              <w:spacing w:after="0"/>
              <w:rPr>
                <w:sz w:val="20"/>
                <w:szCs w:val="20"/>
                <w:color w:val="auto"/>
              </w:rPr>
            </w:pPr>
            <w:r>
              <w:rPr>
                <w:rFonts w:ascii="Arial" w:cs="Arial" w:eastAsia="Arial" w:hAnsi="Arial"/>
                <w:sz w:val="16"/>
                <w:szCs w:val="16"/>
                <w:b w:val="1"/>
                <w:bCs w:val="1"/>
                <w:color w:val="auto"/>
              </w:rPr>
              <w:t>(Enterprise Level)</w:t>
            </w:r>
          </w:p>
        </w:tc>
        <w:tc>
          <w:tcPr>
            <w:tcW w:w="1320" w:type="dxa"/>
            <w:vAlign w:val="bottom"/>
            <w:tcBorders>
              <w:bottom w:val="single" w:sz="8" w:color="FFE933"/>
            </w:tcBorders>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Level)</w:t>
            </w:r>
          </w:p>
        </w:tc>
        <w:tc>
          <w:tcPr>
            <w:tcW w:w="1360" w:type="dxa"/>
            <w:vAlign w:val="bottom"/>
            <w:tcBorders>
              <w:bottom w:val="single" w:sz="8" w:color="FFE933"/>
            </w:tcBorders>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(Individual)</w:t>
            </w:r>
          </w:p>
        </w:tc>
        <w:tc>
          <w:tcPr>
            <w:tcW w:w="1500" w:type="dxa"/>
            <w:vAlign w:val="bottom"/>
            <w:tcBorders>
              <w:bottom w:val="single" w:sz="8" w:color="FFE933"/>
            </w:tcBorders>
            <w:gridSpan w:val="2"/>
            <w:shd w:val="clear" w:color="auto" w:fill="FFE933"/>
          </w:tcPr>
          <w:p>
            <w:pPr>
              <w:jc w:val="right"/>
              <w:ind w:right="420"/>
              <w:spacing w:after="0"/>
              <w:rPr>
                <w:sz w:val="20"/>
                <w:szCs w:val="20"/>
                <w:color w:val="auto"/>
              </w:rPr>
            </w:pPr>
            <w:r>
              <w:rPr>
                <w:rFonts w:ascii="Arial" w:cs="Arial" w:eastAsia="Arial" w:hAnsi="Arial"/>
                <w:sz w:val="16"/>
                <w:szCs w:val="16"/>
                <w:b w:val="1"/>
                <w:bCs w:val="1"/>
                <w:color w:val="auto"/>
              </w:rPr>
              <w:t>Payout</w:t>
            </w:r>
          </w:p>
        </w:tc>
        <w:tc>
          <w:tcPr>
            <w:tcW w:w="1300" w:type="dxa"/>
            <w:vAlign w:val="bottom"/>
            <w:tcBorders>
              <w:bottom w:val="single" w:sz="8" w:color="FFE933"/>
            </w:tcBorders>
            <w:shd w:val="clear" w:color="auto" w:fill="FFE933"/>
          </w:tcPr>
          <w:p>
            <w:pPr>
              <w:jc w:val="right"/>
              <w:ind w:right="29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FFE933"/>
            </w:tcBorders>
            <w:shd w:val="clear" w:color="auto" w:fill="FFE933"/>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26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GERBEN W. BAKKER</w:t>
            </w:r>
          </w:p>
        </w:tc>
        <w:tc>
          <w:tcPr>
            <w:tcW w:w="2200" w:type="dxa"/>
            <w:vAlign w:val="bottom"/>
            <w:tcBorders>
              <w:bottom w:val="single" w:sz="8" w:color="BCBEC0"/>
            </w:tcBorders>
            <w:gridSpan w:val="2"/>
          </w:tcPr>
          <w:p>
            <w:pPr>
              <w:jc w:val="right"/>
              <w:ind w:right="200"/>
              <w:spacing w:after="0"/>
              <w:rPr>
                <w:sz w:val="20"/>
                <w:szCs w:val="20"/>
                <w:color w:val="auto"/>
              </w:rPr>
            </w:pPr>
            <w:r>
              <w:rPr>
                <w:rFonts w:ascii="Arial" w:cs="Arial" w:eastAsia="Arial" w:hAnsi="Arial"/>
                <w:sz w:val="16"/>
                <w:szCs w:val="16"/>
                <w:color w:val="auto"/>
              </w:rPr>
              <w:t>84%</w:t>
            </w:r>
          </w:p>
        </w:tc>
        <w:tc>
          <w:tcPr>
            <w:tcW w:w="1320" w:type="dxa"/>
            <w:vAlign w:val="bottom"/>
            <w:tcBorders>
              <w:bottom w:val="single" w:sz="8" w:color="BCBEC0"/>
            </w:tcBorders>
          </w:tcPr>
          <w:p>
            <w:pPr>
              <w:jc w:val="right"/>
              <w:ind w:right="15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BCBEC0"/>
            </w:tcBorders>
          </w:tcPr>
          <w:p>
            <w:pPr>
              <w:jc w:val="right"/>
              <w:ind w:right="159"/>
              <w:spacing w:after="0"/>
              <w:rPr>
                <w:sz w:val="20"/>
                <w:szCs w:val="20"/>
                <w:color w:val="auto"/>
              </w:rPr>
            </w:pPr>
            <w:r>
              <w:rPr>
                <w:rFonts w:ascii="Arial" w:cs="Arial" w:eastAsia="Arial" w:hAnsi="Arial"/>
                <w:sz w:val="16"/>
                <w:szCs w:val="16"/>
                <w:color w:val="auto"/>
              </w:rPr>
              <w:t>110%</w:t>
            </w:r>
          </w:p>
        </w:tc>
        <w:tc>
          <w:tcPr>
            <w:tcW w:w="1500" w:type="dxa"/>
            <w:vAlign w:val="bottom"/>
            <w:tcBorders>
              <w:bottom w:val="single" w:sz="8" w:color="BCBEC0"/>
            </w:tcBorders>
            <w:gridSpan w:val="2"/>
          </w:tcPr>
          <w:p>
            <w:pPr>
              <w:jc w:val="right"/>
              <w:ind w:right="420"/>
              <w:spacing w:after="0"/>
              <w:rPr>
                <w:sz w:val="20"/>
                <w:szCs w:val="20"/>
                <w:color w:val="auto"/>
              </w:rPr>
            </w:pPr>
            <w:r>
              <w:rPr>
                <w:rFonts w:ascii="Arial" w:cs="Arial" w:eastAsia="Arial" w:hAnsi="Arial"/>
                <w:sz w:val="16"/>
                <w:szCs w:val="16"/>
                <w:color w:val="auto"/>
              </w:rPr>
              <w:t>89%</w:t>
            </w:r>
          </w:p>
        </w:tc>
        <w:tc>
          <w:tcPr>
            <w:tcW w:w="1300" w:type="dxa"/>
            <w:vAlign w:val="bottom"/>
            <w:tcBorders>
              <w:bottom w:val="single" w:sz="8" w:color="BCBEC0"/>
            </w:tcBorders>
          </w:tcPr>
          <w:p>
            <w:pPr>
              <w:jc w:val="right"/>
              <w:ind w:right="299"/>
              <w:spacing w:after="0"/>
              <w:rPr>
                <w:sz w:val="20"/>
                <w:szCs w:val="20"/>
                <w:color w:val="auto"/>
              </w:rPr>
            </w:pPr>
            <w:r>
              <w:rPr>
                <w:rFonts w:ascii="Arial" w:cs="Arial" w:eastAsia="Arial" w:hAnsi="Arial"/>
                <w:sz w:val="16"/>
                <w:szCs w:val="16"/>
                <w:color w:val="auto"/>
              </w:rPr>
              <w:t>1,495,000</w:t>
            </w:r>
          </w:p>
        </w:tc>
        <w:tc>
          <w:tcPr>
            <w:tcW w:w="9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1,330,600</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WILLIAM R. SPERRY</w:t>
            </w:r>
          </w:p>
        </w:tc>
        <w:tc>
          <w:tcPr>
            <w:tcW w:w="2200" w:type="dxa"/>
            <w:vAlign w:val="bottom"/>
            <w:tcBorders>
              <w:bottom w:val="single" w:sz="8" w:color="BCBEC0"/>
            </w:tcBorders>
            <w:gridSpan w:val="2"/>
          </w:tcPr>
          <w:p>
            <w:pPr>
              <w:jc w:val="right"/>
              <w:ind w:right="200"/>
              <w:spacing w:after="0" w:line="183" w:lineRule="exact"/>
              <w:rPr>
                <w:sz w:val="20"/>
                <w:szCs w:val="20"/>
                <w:color w:val="auto"/>
              </w:rPr>
            </w:pPr>
            <w:r>
              <w:rPr>
                <w:rFonts w:ascii="Arial" w:cs="Arial" w:eastAsia="Arial" w:hAnsi="Arial"/>
                <w:sz w:val="16"/>
                <w:szCs w:val="16"/>
                <w:color w:val="auto"/>
              </w:rPr>
              <w:t>84%</w:t>
            </w:r>
          </w:p>
        </w:tc>
        <w:tc>
          <w:tcPr>
            <w:tcW w:w="13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110%</w:t>
            </w:r>
          </w:p>
        </w:tc>
        <w:tc>
          <w:tcPr>
            <w:tcW w:w="1500" w:type="dxa"/>
            <w:vAlign w:val="bottom"/>
            <w:tcBorders>
              <w:bottom w:val="single" w:sz="8" w:color="BCBEC0"/>
            </w:tcBorders>
            <w:gridSpan w:val="2"/>
          </w:tcPr>
          <w:p>
            <w:pPr>
              <w:jc w:val="right"/>
              <w:ind w:right="420"/>
              <w:spacing w:after="0" w:line="183" w:lineRule="exact"/>
              <w:rPr>
                <w:sz w:val="20"/>
                <w:szCs w:val="20"/>
                <w:color w:val="auto"/>
              </w:rPr>
            </w:pPr>
            <w:r>
              <w:rPr>
                <w:rFonts w:ascii="Arial" w:cs="Arial" w:eastAsia="Arial" w:hAnsi="Arial"/>
                <w:sz w:val="16"/>
                <w:szCs w:val="16"/>
                <w:color w:val="auto"/>
              </w:rPr>
              <w:t>89%</w:t>
            </w:r>
          </w:p>
        </w:tc>
        <w:tc>
          <w:tcPr>
            <w:tcW w:w="130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750,000</w:t>
            </w:r>
          </w:p>
        </w:tc>
        <w:tc>
          <w:tcPr>
            <w:tcW w:w="9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667,500</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2200" w:type="dxa"/>
            <w:vAlign w:val="bottom"/>
            <w:tcBorders>
              <w:bottom w:val="single" w:sz="8" w:color="BCBEC0"/>
            </w:tcBorders>
            <w:gridSpan w:val="2"/>
          </w:tcPr>
          <w:p>
            <w:pPr>
              <w:jc w:val="right"/>
              <w:ind w:right="200"/>
              <w:spacing w:after="0" w:line="183" w:lineRule="exact"/>
              <w:rPr>
                <w:sz w:val="20"/>
                <w:szCs w:val="20"/>
                <w:color w:val="auto"/>
              </w:rPr>
            </w:pPr>
            <w:r>
              <w:rPr>
                <w:rFonts w:ascii="Arial" w:cs="Arial" w:eastAsia="Arial" w:hAnsi="Arial"/>
                <w:sz w:val="16"/>
                <w:szCs w:val="16"/>
                <w:color w:val="auto"/>
              </w:rPr>
              <w:t>84%</w:t>
            </w:r>
          </w:p>
        </w:tc>
        <w:tc>
          <w:tcPr>
            <w:tcW w:w="13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92%</w:t>
            </w:r>
          </w:p>
        </w:tc>
        <w:tc>
          <w:tcPr>
            <w:tcW w:w="136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110%</w:t>
            </w:r>
          </w:p>
        </w:tc>
        <w:tc>
          <w:tcPr>
            <w:tcW w:w="1500" w:type="dxa"/>
            <w:vAlign w:val="bottom"/>
            <w:tcBorders>
              <w:bottom w:val="single" w:sz="8" w:color="BCBEC0"/>
            </w:tcBorders>
            <w:gridSpan w:val="2"/>
          </w:tcPr>
          <w:p>
            <w:pPr>
              <w:jc w:val="right"/>
              <w:ind w:right="420"/>
              <w:spacing w:after="0" w:line="183" w:lineRule="exact"/>
              <w:rPr>
                <w:sz w:val="20"/>
                <w:szCs w:val="20"/>
                <w:color w:val="auto"/>
              </w:rPr>
            </w:pPr>
            <w:r>
              <w:rPr>
                <w:rFonts w:ascii="Arial" w:cs="Arial" w:eastAsia="Arial" w:hAnsi="Arial"/>
                <w:sz w:val="16"/>
                <w:szCs w:val="16"/>
                <w:color w:val="auto"/>
              </w:rPr>
              <w:t>93%</w:t>
            </w:r>
          </w:p>
        </w:tc>
        <w:tc>
          <w:tcPr>
            <w:tcW w:w="130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476,250</w:t>
            </w:r>
          </w:p>
        </w:tc>
        <w:tc>
          <w:tcPr>
            <w:tcW w:w="9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442,900</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GREGORY A. GUMBS</w:t>
            </w:r>
          </w:p>
        </w:tc>
        <w:tc>
          <w:tcPr>
            <w:tcW w:w="2200" w:type="dxa"/>
            <w:vAlign w:val="bottom"/>
            <w:tcBorders>
              <w:bottom w:val="single" w:sz="8" w:color="BCBEC0"/>
            </w:tcBorders>
            <w:gridSpan w:val="2"/>
          </w:tcPr>
          <w:p>
            <w:pPr>
              <w:jc w:val="right"/>
              <w:ind w:right="200"/>
              <w:spacing w:after="0" w:line="183" w:lineRule="exact"/>
              <w:rPr>
                <w:sz w:val="20"/>
                <w:szCs w:val="20"/>
                <w:color w:val="auto"/>
              </w:rPr>
            </w:pPr>
            <w:r>
              <w:rPr>
                <w:rFonts w:ascii="Arial" w:cs="Arial" w:eastAsia="Arial" w:hAnsi="Arial"/>
                <w:sz w:val="16"/>
                <w:szCs w:val="16"/>
                <w:color w:val="auto"/>
              </w:rPr>
              <w:t>84%</w:t>
            </w:r>
          </w:p>
        </w:tc>
        <w:tc>
          <w:tcPr>
            <w:tcW w:w="13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81%</w:t>
            </w:r>
          </w:p>
        </w:tc>
        <w:tc>
          <w:tcPr>
            <w:tcW w:w="136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110%</w:t>
            </w:r>
          </w:p>
        </w:tc>
        <w:tc>
          <w:tcPr>
            <w:tcW w:w="1500" w:type="dxa"/>
            <w:vAlign w:val="bottom"/>
            <w:tcBorders>
              <w:bottom w:val="single" w:sz="8" w:color="BCBEC0"/>
            </w:tcBorders>
            <w:gridSpan w:val="2"/>
          </w:tcPr>
          <w:p>
            <w:pPr>
              <w:jc w:val="right"/>
              <w:ind w:right="420"/>
              <w:spacing w:after="0" w:line="183" w:lineRule="exact"/>
              <w:rPr>
                <w:sz w:val="20"/>
                <w:szCs w:val="20"/>
                <w:color w:val="auto"/>
              </w:rPr>
            </w:pPr>
            <w:r>
              <w:rPr>
                <w:rFonts w:ascii="Arial" w:cs="Arial" w:eastAsia="Arial" w:hAnsi="Arial"/>
                <w:sz w:val="16"/>
                <w:szCs w:val="16"/>
                <w:color w:val="auto"/>
              </w:rPr>
              <w:t>88%</w:t>
            </w:r>
          </w:p>
        </w:tc>
        <w:tc>
          <w:tcPr>
            <w:tcW w:w="130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483,750</w:t>
            </w:r>
          </w:p>
        </w:tc>
        <w:tc>
          <w:tcPr>
            <w:tcW w:w="9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425,700</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KATHERINE A. LANE</w:t>
            </w:r>
          </w:p>
        </w:tc>
        <w:tc>
          <w:tcPr>
            <w:tcW w:w="2200" w:type="dxa"/>
            <w:vAlign w:val="bottom"/>
            <w:tcBorders>
              <w:bottom w:val="single" w:sz="8" w:color="BCBEC0"/>
            </w:tcBorders>
            <w:gridSpan w:val="2"/>
          </w:tcPr>
          <w:p>
            <w:pPr>
              <w:jc w:val="right"/>
              <w:ind w:right="200"/>
              <w:spacing w:after="0" w:line="183" w:lineRule="exact"/>
              <w:rPr>
                <w:sz w:val="20"/>
                <w:szCs w:val="20"/>
                <w:color w:val="auto"/>
              </w:rPr>
            </w:pPr>
            <w:r>
              <w:rPr>
                <w:rFonts w:ascii="Arial" w:cs="Arial" w:eastAsia="Arial" w:hAnsi="Arial"/>
                <w:sz w:val="16"/>
                <w:szCs w:val="16"/>
                <w:color w:val="auto"/>
              </w:rPr>
              <w:t>84%</w:t>
            </w:r>
          </w:p>
        </w:tc>
        <w:tc>
          <w:tcPr>
            <w:tcW w:w="132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360" w:type="dxa"/>
            <w:vAlign w:val="bottom"/>
            <w:tcBorders>
              <w:bottom w:val="single" w:sz="8" w:color="BCBEC0"/>
            </w:tcBorders>
          </w:tcPr>
          <w:p>
            <w:pPr>
              <w:jc w:val="right"/>
              <w:ind w:right="159"/>
              <w:spacing w:after="0" w:line="183" w:lineRule="exact"/>
              <w:rPr>
                <w:sz w:val="20"/>
                <w:szCs w:val="20"/>
                <w:color w:val="auto"/>
              </w:rPr>
            </w:pPr>
            <w:r>
              <w:rPr>
                <w:rFonts w:ascii="Arial" w:cs="Arial" w:eastAsia="Arial" w:hAnsi="Arial"/>
                <w:sz w:val="16"/>
                <w:szCs w:val="16"/>
                <w:color w:val="auto"/>
              </w:rPr>
              <w:t>110%</w:t>
            </w:r>
          </w:p>
        </w:tc>
        <w:tc>
          <w:tcPr>
            <w:tcW w:w="1500" w:type="dxa"/>
            <w:vAlign w:val="bottom"/>
            <w:tcBorders>
              <w:bottom w:val="single" w:sz="8" w:color="BCBEC0"/>
            </w:tcBorders>
            <w:gridSpan w:val="2"/>
          </w:tcPr>
          <w:p>
            <w:pPr>
              <w:jc w:val="right"/>
              <w:ind w:right="420"/>
              <w:spacing w:after="0" w:line="183" w:lineRule="exact"/>
              <w:rPr>
                <w:sz w:val="20"/>
                <w:szCs w:val="20"/>
                <w:color w:val="auto"/>
              </w:rPr>
            </w:pPr>
            <w:r>
              <w:rPr>
                <w:rFonts w:ascii="Arial" w:cs="Arial" w:eastAsia="Arial" w:hAnsi="Arial"/>
                <w:sz w:val="16"/>
                <w:szCs w:val="16"/>
                <w:color w:val="auto"/>
              </w:rPr>
              <w:t>89%</w:t>
            </w:r>
          </w:p>
        </w:tc>
        <w:tc>
          <w:tcPr>
            <w:tcW w:w="130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431,250</w:t>
            </w:r>
          </w:p>
        </w:tc>
        <w:tc>
          <w:tcPr>
            <w:tcW w:w="9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383,800</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left="340" w:hanging="332"/>
        <w:spacing w:after="0" w:line="205" w:lineRule="auto"/>
        <w:tabs>
          <w:tab w:leader="none" w:pos="340" w:val="left"/>
        </w:tabs>
        <w:numPr>
          <w:ilvl w:val="0"/>
          <w:numId w:val="6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earnings per share and free cash flow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auto"/>
        </w:rPr>
        <w:t>Long-Term Incentive Compensation</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Hubbell maintains a Long-Term Incentive (“LTI”) plan that gives our senior leaders the opportunity to earn rewards in the form of Hubbell common stock pursuant to the Company’s Incentive Award Plan (the “Equity Plan”). The Equity Plan is designed to:</w:t>
      </w:r>
    </w:p>
    <w:p>
      <w:pPr>
        <w:spacing w:after="0" w:line="129"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6"/>
          <w:szCs w:val="16"/>
          <w:color w:val="2F8B9E"/>
        </w:rPr>
      </w:pPr>
      <w:r>
        <w:rPr>
          <w:rFonts w:ascii="Arial" w:cs="Arial" w:eastAsia="Arial" w:hAnsi="Arial"/>
          <w:sz w:val="16"/>
          <w:szCs w:val="16"/>
          <w:color w:val="auto"/>
        </w:rPr>
        <w:t>Promote growth in the Company’s share price by rewarding actions that enhance enterprise value.</w:t>
      </w:r>
    </w:p>
    <w:p>
      <w:pPr>
        <w:spacing w:after="0" w:line="21" w:lineRule="exact"/>
        <w:rPr>
          <w:rFonts w:ascii="Arial" w:cs="Arial" w:eastAsia="Arial" w:hAnsi="Arial"/>
          <w:sz w:val="16"/>
          <w:szCs w:val="16"/>
          <w:color w:val="2F8B9E"/>
        </w:rPr>
      </w:pPr>
    </w:p>
    <w:p>
      <w:pPr>
        <w:ind w:left="180" w:hanging="172"/>
        <w:spacing w:after="0"/>
        <w:tabs>
          <w:tab w:leader="none" w:pos="180" w:val="left"/>
        </w:tabs>
        <w:numPr>
          <w:ilvl w:val="0"/>
          <w:numId w:val="61"/>
        </w:numPr>
        <w:rPr>
          <w:rFonts w:ascii="Arial" w:cs="Arial" w:eastAsia="Arial" w:hAnsi="Arial"/>
          <w:sz w:val="16"/>
          <w:szCs w:val="16"/>
          <w:color w:val="2F8B9E"/>
        </w:rPr>
      </w:pPr>
      <w:r>
        <w:rPr>
          <w:rFonts w:ascii="Arial" w:cs="Arial" w:eastAsia="Arial" w:hAnsi="Arial"/>
          <w:sz w:val="16"/>
          <w:szCs w:val="16"/>
          <w:color w:val="auto"/>
        </w:rPr>
        <w:t>Ensure long-term rewards are appropriately aligned with performance outcomes.</w:t>
      </w:r>
    </w:p>
    <w:p>
      <w:pPr>
        <w:spacing w:after="0" w:line="5" w:lineRule="exact"/>
        <w:rPr>
          <w:rFonts w:ascii="Arial" w:cs="Arial" w:eastAsia="Arial" w:hAnsi="Arial"/>
          <w:sz w:val="16"/>
          <w:szCs w:val="16"/>
          <w:color w:val="2F8B9E"/>
        </w:rPr>
      </w:pPr>
    </w:p>
    <w:p>
      <w:pPr>
        <w:ind w:left="180" w:hanging="172"/>
        <w:spacing w:after="0"/>
        <w:tabs>
          <w:tab w:leader="none" w:pos="180" w:val="left"/>
        </w:tabs>
        <w:numPr>
          <w:ilvl w:val="0"/>
          <w:numId w:val="61"/>
        </w:numPr>
        <w:rPr>
          <w:rFonts w:ascii="Arial" w:cs="Arial" w:eastAsia="Arial" w:hAnsi="Arial"/>
          <w:sz w:val="16"/>
          <w:szCs w:val="16"/>
          <w:color w:val="2F8B9E"/>
        </w:rPr>
      </w:pPr>
      <w:r>
        <w:rPr>
          <w:rFonts w:ascii="Arial" w:cs="Arial" w:eastAsia="Arial" w:hAnsi="Arial"/>
          <w:sz w:val="16"/>
          <w:szCs w:val="16"/>
          <w:color w:val="auto"/>
        </w:rPr>
        <w:t>Encourage leadership to accumulate equity ownership, strengthening alignment with shareholders.</w:t>
      </w:r>
    </w:p>
    <w:p>
      <w:pPr>
        <w:spacing w:after="0" w:line="5" w:lineRule="exact"/>
        <w:rPr>
          <w:rFonts w:ascii="Arial" w:cs="Arial" w:eastAsia="Arial" w:hAnsi="Arial"/>
          <w:sz w:val="16"/>
          <w:szCs w:val="16"/>
          <w:color w:val="2F8B9E"/>
        </w:rPr>
      </w:pPr>
    </w:p>
    <w:p>
      <w:pPr>
        <w:ind w:left="180" w:hanging="172"/>
        <w:spacing w:after="0"/>
        <w:tabs>
          <w:tab w:leader="none" w:pos="180" w:val="left"/>
        </w:tabs>
        <w:numPr>
          <w:ilvl w:val="0"/>
          <w:numId w:val="61"/>
        </w:numPr>
        <w:rPr>
          <w:rFonts w:ascii="Arial" w:cs="Arial" w:eastAsia="Arial" w:hAnsi="Arial"/>
          <w:sz w:val="16"/>
          <w:szCs w:val="16"/>
          <w:color w:val="2F8B9E"/>
        </w:rPr>
      </w:pPr>
      <w:r>
        <w:rPr>
          <w:rFonts w:ascii="Arial" w:cs="Arial" w:eastAsia="Arial" w:hAnsi="Arial"/>
          <w:sz w:val="16"/>
          <w:szCs w:val="16"/>
          <w:color w:val="auto"/>
        </w:rPr>
        <w:t>Motivate, retain, and reward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121920</wp:posOffset>
            </wp:positionV>
            <wp:extent cx="6858000" cy="10369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00" cy="103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design of our LTI program creates a long-term performance-based orientation and encourages executives to remain with the Company.</w:t>
      </w:r>
    </w:p>
    <w:p>
      <w:pPr>
        <w:spacing w:after="0" w:line="19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value of LTI awards granted to our executives each year is based on several factors, including external benchmarking, the Company’s short- and long-term financial performance, the value of awards granted in prior years, succession considerations, and individual performance.</w:t>
      </w:r>
    </w:p>
    <w:p>
      <w:pPr>
        <w:spacing w:after="0" w:line="109" w:lineRule="exact"/>
        <w:rPr>
          <w:sz w:val="20"/>
          <w:szCs w:val="20"/>
          <w:color w:val="auto"/>
        </w:rPr>
      </w:pPr>
    </w:p>
    <w:p>
      <w:pPr>
        <w:spacing w:after="0"/>
        <w:rPr>
          <w:sz w:val="20"/>
          <w:szCs w:val="20"/>
          <w:color w:val="auto"/>
        </w:rPr>
      </w:pPr>
      <w:r>
        <w:rPr>
          <w:sz w:val="1"/>
          <w:szCs w:val="1"/>
          <w:color w:val="auto"/>
        </w:rPr>
        <w:drawing>
          <wp:inline distT="0" distB="0" distL="0" distR="0">
            <wp:extent cx="231140" cy="222885"/>
            <wp:effectExtent l="0" t="0" r="0"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231140" cy="222885"/>
                    </a:xfrm>
                    <a:prstGeom prst="rect">
                      <a:avLst/>
                    </a:prstGeom>
                    <a:noFill/>
                    <a:ln>
                      <a:noFill/>
                    </a:ln>
                  </pic:spPr>
                </pic:pic>
              </a:graphicData>
            </a:graphic>
          </wp:inline>
        </w:drawing>
      </w:r>
      <w:r>
        <w:rPr>
          <w:rFonts w:ascii="Arial" w:cs="Arial" w:eastAsia="Arial" w:hAnsi="Arial"/>
          <w:sz w:val="16"/>
          <w:szCs w:val="16"/>
          <w:color w:val="auto"/>
        </w:rPr>
        <w:t>On May 6, 2025, over 94% of Hubbell’s shareholders approved the Company’s adoption of the Hubbell Incorporated Incentive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3511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32320" cy="351155"/>
                    </a:xfrm>
                    <a:prstGeom prst="rect">
                      <a:avLst/>
                    </a:prstGeom>
                    <a:noFill/>
                  </pic:spPr>
                </pic:pic>
              </a:graphicData>
            </a:graphic>
          </wp:anchor>
        </w:drawing>
      </w:r>
    </w:p>
    <w:p>
      <w:pPr>
        <w:spacing w:after="0" w:line="357"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Our LTI program includes financial metrics that align with our business strategy.</w:t>
      </w:r>
    </w:p>
    <w:p>
      <w:pPr>
        <w:spacing w:after="0" w:line="356"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Share Awards</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performance share program has evolved in response to our shareholders’ feedback to ensure alignment with our business strategy, with consistent metrics since 2022. The following table outlines the outstanding performance awards granted to our NEOs.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08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Grant Date</w:t>
            </w:r>
          </w:p>
        </w:tc>
        <w:tc>
          <w:tcPr>
            <w:tcW w:w="2200" w:type="dxa"/>
            <w:vAlign w:val="bottom"/>
            <w:tcBorders>
              <w:bottom w:val="single" w:sz="8" w:color="FFE933"/>
            </w:tcBorders>
            <w:shd w:val="clear" w:color="auto" w:fill="FFE933"/>
          </w:tcPr>
          <w:p>
            <w:pPr>
              <w:ind w:left="180"/>
              <w:spacing w:after="0"/>
              <w:rPr>
                <w:sz w:val="20"/>
                <w:szCs w:val="20"/>
                <w:color w:val="auto"/>
              </w:rPr>
            </w:pPr>
            <w:r>
              <w:rPr>
                <w:rFonts w:ascii="Arial" w:cs="Arial" w:eastAsia="Arial" w:hAnsi="Arial"/>
                <w:sz w:val="16"/>
                <w:szCs w:val="16"/>
                <w:b w:val="1"/>
                <w:bCs w:val="1"/>
                <w:color w:val="auto"/>
              </w:rPr>
              <w:t>Performance Period</w:t>
            </w:r>
          </w:p>
        </w:tc>
        <w:tc>
          <w:tcPr>
            <w:tcW w:w="3340" w:type="dxa"/>
            <w:vAlign w:val="bottom"/>
            <w:tcBorders>
              <w:bottom w:val="single" w:sz="8" w:color="FFE933"/>
            </w:tcBorders>
            <w:shd w:val="clear" w:color="auto" w:fill="FFE933"/>
          </w:tcPr>
          <w:p>
            <w:pPr>
              <w:ind w:left="1180"/>
              <w:spacing w:after="0"/>
              <w:rPr>
                <w:sz w:val="20"/>
                <w:szCs w:val="20"/>
                <w:color w:val="auto"/>
              </w:rPr>
            </w:pPr>
            <w:r>
              <w:rPr>
                <w:rFonts w:ascii="Arial" w:cs="Arial" w:eastAsia="Arial" w:hAnsi="Arial"/>
                <w:sz w:val="16"/>
                <w:szCs w:val="16"/>
                <w:b w:val="1"/>
                <w:bCs w:val="1"/>
                <w:color w:val="auto"/>
              </w:rPr>
              <w:t>Program Metrics</w:t>
            </w:r>
          </w:p>
        </w:tc>
        <w:tc>
          <w:tcPr>
            <w:tcW w:w="3100" w:type="dxa"/>
            <w:vAlign w:val="bottom"/>
            <w:tcBorders>
              <w:bottom w:val="single" w:sz="8" w:color="FFE933"/>
            </w:tcBorders>
            <w:gridSpan w:val="2"/>
            <w:shd w:val="clear" w:color="auto" w:fill="FFE933"/>
          </w:tcPr>
          <w:p>
            <w:pPr>
              <w:ind w:left="260"/>
              <w:spacing w:after="0"/>
              <w:rPr>
                <w:sz w:val="20"/>
                <w:szCs w:val="20"/>
                <w:color w:val="auto"/>
              </w:rPr>
            </w:pPr>
            <w:r>
              <w:rPr>
                <w:rFonts w:ascii="Arial" w:cs="Arial" w:eastAsia="Arial" w:hAnsi="Arial"/>
                <w:sz w:val="16"/>
                <w:szCs w:val="16"/>
                <w:b w:val="1"/>
                <w:bCs w:val="1"/>
                <w:color w:val="auto"/>
              </w:rPr>
              <w:t>Status</w:t>
            </w:r>
          </w:p>
        </w:tc>
        <w:tc>
          <w:tcPr>
            <w:tcW w:w="1520" w:type="dxa"/>
            <w:vAlign w:val="bottom"/>
            <w:tcBorders>
              <w:bottom w:val="single" w:sz="8" w:color="FFE933"/>
            </w:tcBorders>
            <w:shd w:val="clear" w:color="auto" w:fill="FFE933"/>
          </w:tcPr>
          <w:p>
            <w:pPr>
              <w:ind w:left="300"/>
              <w:spacing w:after="0"/>
              <w:rPr>
                <w:sz w:val="20"/>
                <w:szCs w:val="20"/>
                <w:color w:val="auto"/>
              </w:rPr>
            </w:pPr>
            <w:r>
              <w:rPr>
                <w:rFonts w:ascii="Arial" w:cs="Arial" w:eastAsia="Arial" w:hAnsi="Arial"/>
                <w:sz w:val="16"/>
                <w:szCs w:val="16"/>
                <w:b w:val="1"/>
                <w:bCs w:val="1"/>
                <w:color w:val="auto"/>
              </w:rPr>
              <w:t>See Pages</w:t>
            </w:r>
          </w:p>
        </w:tc>
        <w:tc>
          <w:tcPr>
            <w:tcW w:w="0" w:type="dxa"/>
            <w:vAlign w:val="bottom"/>
          </w:tcPr>
          <w:p>
            <w:pPr>
              <w:spacing w:after="0"/>
              <w:rPr>
                <w:sz w:val="1"/>
                <w:szCs w:val="1"/>
                <w:color w:val="auto"/>
              </w:rPr>
            </w:pPr>
          </w:p>
        </w:tc>
      </w:tr>
      <w:tr>
        <w:trPr>
          <w:trHeight w:val="183"/>
        </w:trPr>
        <w:tc>
          <w:tcPr>
            <w:tcW w:w="1080" w:type="dxa"/>
            <w:vAlign w:val="bottom"/>
            <w:tcBorders>
              <w:bottom w:val="single" w:sz="8" w:color="BCBEC0"/>
            </w:tcBorders>
          </w:tcPr>
          <w:p>
            <w:pPr>
              <w:ind w:left="60"/>
              <w:spacing w:after="0" w:line="177" w:lineRule="exact"/>
              <w:rPr>
                <w:sz w:val="20"/>
                <w:szCs w:val="20"/>
                <w:color w:val="auto"/>
              </w:rPr>
            </w:pPr>
            <w:r>
              <w:rPr>
                <w:rFonts w:ascii="Arial" w:cs="Arial" w:eastAsia="Arial" w:hAnsi="Arial"/>
                <w:sz w:val="16"/>
                <w:szCs w:val="16"/>
                <w:color w:val="auto"/>
              </w:rPr>
              <w:t>Feb. 2025</w:t>
            </w:r>
          </w:p>
        </w:tc>
        <w:tc>
          <w:tcPr>
            <w:tcW w:w="2200" w:type="dxa"/>
            <w:vAlign w:val="bottom"/>
            <w:tcBorders>
              <w:bottom w:val="single" w:sz="8" w:color="BCBEC0"/>
            </w:tcBorders>
          </w:tcPr>
          <w:p>
            <w:pPr>
              <w:ind w:left="180"/>
              <w:spacing w:after="0" w:line="177" w:lineRule="exact"/>
              <w:rPr>
                <w:sz w:val="20"/>
                <w:szCs w:val="20"/>
                <w:color w:val="auto"/>
              </w:rPr>
            </w:pPr>
            <w:r>
              <w:rPr>
                <w:rFonts w:ascii="Arial" w:cs="Arial" w:eastAsia="Arial" w:hAnsi="Arial"/>
                <w:sz w:val="16"/>
                <w:szCs w:val="16"/>
                <w:color w:val="auto"/>
              </w:rPr>
              <w:t>2025 – 2027</w:t>
            </w:r>
          </w:p>
        </w:tc>
        <w:tc>
          <w:tcPr>
            <w:tcW w:w="3340" w:type="dxa"/>
            <w:vAlign w:val="bottom"/>
          </w:tcPr>
          <w:p>
            <w:pPr>
              <w:jc w:val="center"/>
              <w:ind w:left="162"/>
              <w:spacing w:after="0" w:line="177" w:lineRule="exact"/>
              <w:rPr>
                <w:sz w:val="20"/>
                <w:szCs w:val="20"/>
                <w:color w:val="auto"/>
              </w:rPr>
            </w:pPr>
            <w:r>
              <w:rPr>
                <w:rFonts w:ascii="Arial" w:cs="Arial" w:eastAsia="Arial" w:hAnsi="Arial"/>
                <w:sz w:val="16"/>
                <w:szCs w:val="16"/>
                <w:color w:val="auto"/>
              </w:rPr>
              <w:t>Relative Sales Growth,</w:t>
            </w:r>
          </w:p>
        </w:tc>
        <w:tc>
          <w:tcPr>
            <w:tcW w:w="3100" w:type="dxa"/>
            <w:vAlign w:val="bottom"/>
            <w:gridSpan w:val="2"/>
            <w:vMerge w:val="restart"/>
          </w:tcPr>
          <w:p>
            <w:pPr>
              <w:ind w:left="260"/>
              <w:spacing w:after="0"/>
              <w:rPr>
                <w:sz w:val="20"/>
                <w:szCs w:val="20"/>
                <w:color w:val="auto"/>
              </w:rPr>
            </w:pPr>
            <w:r>
              <w:rPr>
                <w:rFonts w:ascii="Arial" w:cs="Arial" w:eastAsia="Arial" w:hAnsi="Arial"/>
                <w:sz w:val="16"/>
                <w:szCs w:val="16"/>
                <w:color w:val="auto"/>
              </w:rPr>
              <w:t>Pending end of performance period</w:t>
            </w:r>
          </w:p>
        </w:tc>
        <w:tc>
          <w:tcPr>
            <w:tcW w:w="1520" w:type="dxa"/>
            <w:vAlign w:val="bottom"/>
            <w:vMerge w:val="restart"/>
          </w:tcPr>
          <w:p>
            <w:pPr>
              <w:ind w:left="300"/>
              <w:spacing w:after="0"/>
              <w:rPr>
                <w:sz w:val="20"/>
                <w:szCs w:val="20"/>
                <w:color w:val="auto"/>
              </w:rPr>
            </w:pPr>
            <w:r>
              <w:rPr>
                <w:rFonts w:ascii="Arial" w:cs="Arial" w:eastAsia="Arial" w:hAnsi="Arial"/>
                <w:sz w:val="16"/>
                <w:szCs w:val="16"/>
                <w:color w:val="auto"/>
              </w:rPr>
              <w:t>50-51</w:t>
            </w:r>
          </w:p>
        </w:tc>
        <w:tc>
          <w:tcPr>
            <w:tcW w:w="0" w:type="dxa"/>
            <w:vAlign w:val="bottom"/>
          </w:tcPr>
          <w:p>
            <w:pPr>
              <w:spacing w:after="0"/>
              <w:rPr>
                <w:sz w:val="1"/>
                <w:szCs w:val="1"/>
                <w:color w:val="auto"/>
              </w:rPr>
            </w:pPr>
          </w:p>
        </w:tc>
      </w:tr>
      <w:tr>
        <w:trPr>
          <w:trHeight w:val="93"/>
        </w:trPr>
        <w:tc>
          <w:tcPr>
            <w:tcW w:w="1080" w:type="dxa"/>
            <w:vAlign w:val="bottom"/>
            <w:vMerge w:val="restart"/>
          </w:tcPr>
          <w:p>
            <w:pPr>
              <w:ind w:left="60"/>
              <w:spacing w:after="0"/>
              <w:rPr>
                <w:sz w:val="20"/>
                <w:szCs w:val="20"/>
                <w:color w:val="auto"/>
              </w:rPr>
            </w:pPr>
            <w:r>
              <w:rPr>
                <w:rFonts w:ascii="Arial" w:cs="Arial" w:eastAsia="Arial" w:hAnsi="Arial"/>
                <w:sz w:val="16"/>
                <w:szCs w:val="16"/>
                <w:color w:val="auto"/>
              </w:rPr>
              <w:t>Feb. 2024</w:t>
            </w:r>
          </w:p>
        </w:tc>
        <w:tc>
          <w:tcPr>
            <w:tcW w:w="2200" w:type="dxa"/>
            <w:vAlign w:val="bottom"/>
            <w:vMerge w:val="restart"/>
          </w:tcPr>
          <w:p>
            <w:pPr>
              <w:ind w:left="180"/>
              <w:spacing w:after="0"/>
              <w:rPr>
                <w:sz w:val="20"/>
                <w:szCs w:val="20"/>
                <w:color w:val="auto"/>
              </w:rPr>
            </w:pPr>
            <w:r>
              <w:rPr>
                <w:rFonts w:ascii="Arial" w:cs="Arial" w:eastAsia="Arial" w:hAnsi="Arial"/>
                <w:sz w:val="16"/>
                <w:szCs w:val="16"/>
                <w:color w:val="auto"/>
              </w:rPr>
              <w:t>2024 – 2026</w:t>
            </w:r>
          </w:p>
        </w:tc>
        <w:tc>
          <w:tcPr>
            <w:tcW w:w="3340" w:type="dxa"/>
            <w:vAlign w:val="bottom"/>
            <w:vMerge w:val="restart"/>
          </w:tcPr>
          <w:p>
            <w:pPr>
              <w:jc w:val="center"/>
              <w:ind w:left="142"/>
              <w:spacing w:after="0" w:line="189" w:lineRule="exact"/>
              <w:rPr>
                <w:sz w:val="20"/>
                <w:szCs w:val="20"/>
                <w:color w:val="auto"/>
              </w:rPr>
            </w:pPr>
            <w:r>
              <w:rPr>
                <w:rFonts w:ascii="Arial" w:cs="Arial" w:eastAsia="Arial" w:hAnsi="Arial"/>
                <w:sz w:val="14"/>
                <w:szCs w:val="14"/>
                <w:color w:val="auto"/>
              </w:rPr>
              <w:t>Adjusted Operating Profit Margin</w:t>
            </w:r>
            <w:r>
              <w:rPr>
                <w:rFonts w:ascii="Arial" w:cs="Arial" w:eastAsia="Arial" w:hAnsi="Arial"/>
                <w:sz w:val="21"/>
                <w:szCs w:val="21"/>
                <w:color w:val="auto"/>
                <w:vertAlign w:val="superscript"/>
              </w:rPr>
              <w:t>(1)</w:t>
            </w:r>
            <w:r>
              <w:rPr>
                <w:rFonts w:ascii="Arial" w:cs="Arial" w:eastAsia="Arial" w:hAnsi="Arial"/>
                <w:sz w:val="14"/>
                <w:szCs w:val="14"/>
                <w:color w:val="auto"/>
              </w:rPr>
              <w:t>,</w:t>
            </w:r>
          </w:p>
        </w:tc>
        <w:tc>
          <w:tcPr>
            <w:tcW w:w="3100" w:type="dxa"/>
            <w:vAlign w:val="bottom"/>
            <w:gridSpan w:val="2"/>
            <w:vMerge w:val="continue"/>
          </w:tcPr>
          <w:p>
            <w:pPr>
              <w:spacing w:after="0"/>
              <w:rPr>
                <w:sz w:val="8"/>
                <w:szCs w:val="8"/>
                <w:color w:val="auto"/>
              </w:rPr>
            </w:pP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1080" w:type="dxa"/>
            <w:vAlign w:val="bottom"/>
            <w:tcBorders>
              <w:bottom w:val="single" w:sz="8" w:color="BCBEC0"/>
            </w:tcBorders>
            <w:vMerge w:val="continue"/>
          </w:tcPr>
          <w:p>
            <w:pPr>
              <w:spacing w:after="0"/>
              <w:rPr>
                <w:sz w:val="8"/>
                <w:szCs w:val="8"/>
                <w:color w:val="auto"/>
              </w:rPr>
            </w:pPr>
          </w:p>
        </w:tc>
        <w:tc>
          <w:tcPr>
            <w:tcW w:w="2200" w:type="dxa"/>
            <w:vAlign w:val="bottom"/>
            <w:tcBorders>
              <w:bottom w:val="single" w:sz="8" w:color="BCBEC0"/>
            </w:tcBorders>
            <w:vMerge w:val="continue"/>
          </w:tcPr>
          <w:p>
            <w:pPr>
              <w:spacing w:after="0"/>
              <w:rPr>
                <w:sz w:val="8"/>
                <w:szCs w:val="8"/>
                <w:color w:val="auto"/>
              </w:rPr>
            </w:pPr>
          </w:p>
        </w:tc>
        <w:tc>
          <w:tcPr>
            <w:tcW w:w="33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840" w:type="dxa"/>
            <w:vAlign w:val="bottom"/>
            <w:tcBorders>
              <w:bottom w:val="single" w:sz="8" w:color="BCBEC0"/>
            </w:tcBorders>
          </w:tcPr>
          <w:p>
            <w:pPr>
              <w:spacing w:after="0"/>
              <w:rPr>
                <w:sz w:val="8"/>
                <w:szCs w:val="8"/>
                <w:color w:val="auto"/>
              </w:rPr>
            </w:pPr>
          </w:p>
        </w:tc>
        <w:tc>
          <w:tcPr>
            <w:tcW w:w="1520" w:type="dxa"/>
            <w:vAlign w:val="bottom"/>
            <w:tcBorders>
              <w:bottom w:val="single" w:sz="8" w:color="BCBEC0"/>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08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Feb. 2023</w:t>
            </w:r>
          </w:p>
        </w:tc>
        <w:tc>
          <w:tcPr>
            <w:tcW w:w="2200" w:type="dxa"/>
            <w:vAlign w:val="bottom"/>
            <w:tcBorders>
              <w:bottom w:val="single" w:sz="8" w:color="BCBEC0"/>
            </w:tcBorders>
          </w:tcPr>
          <w:p>
            <w:pPr>
              <w:ind w:left="180"/>
              <w:spacing w:after="0"/>
              <w:rPr>
                <w:sz w:val="20"/>
                <w:szCs w:val="20"/>
                <w:color w:val="auto"/>
              </w:rPr>
            </w:pPr>
            <w:r>
              <w:rPr>
                <w:rFonts w:ascii="Arial" w:cs="Arial" w:eastAsia="Arial" w:hAnsi="Arial"/>
                <w:sz w:val="16"/>
                <w:szCs w:val="16"/>
                <w:color w:val="auto"/>
              </w:rPr>
              <w:t>2023 – 2025</w:t>
            </w:r>
          </w:p>
        </w:tc>
        <w:tc>
          <w:tcPr>
            <w:tcW w:w="3340" w:type="dxa"/>
            <w:vAlign w:val="bottom"/>
            <w:tcBorders>
              <w:bottom w:val="single" w:sz="8" w:color="BCBEC0"/>
            </w:tcBorders>
          </w:tcPr>
          <w:p>
            <w:pPr>
              <w:jc w:val="center"/>
              <w:ind w:left="202"/>
              <w:spacing w:after="0"/>
              <w:rPr>
                <w:sz w:val="20"/>
                <w:szCs w:val="20"/>
                <w:color w:val="auto"/>
              </w:rPr>
            </w:pPr>
            <w:r>
              <w:rPr>
                <w:rFonts w:ascii="Arial" w:cs="Arial" w:eastAsia="Arial" w:hAnsi="Arial"/>
                <w:sz w:val="16"/>
                <w:szCs w:val="16"/>
                <w:color w:val="auto"/>
              </w:rPr>
              <w:t>Relative Total Shareholder Return</w:t>
            </w:r>
          </w:p>
        </w:tc>
        <w:tc>
          <w:tcPr>
            <w:tcW w:w="260" w:type="dxa"/>
            <w:vAlign w:val="bottom"/>
            <w:tcBorders>
              <w:bottom w:val="single" w:sz="8" w:color="BCBEC0"/>
            </w:tcBorders>
          </w:tcPr>
          <w:p>
            <w:pPr>
              <w:spacing w:after="0"/>
              <w:rPr>
                <w:sz w:val="17"/>
                <w:szCs w:val="17"/>
                <w:color w:val="auto"/>
              </w:rPr>
            </w:pPr>
          </w:p>
        </w:tc>
        <w:tc>
          <w:tcPr>
            <w:tcW w:w="2840" w:type="dxa"/>
            <w:vAlign w:val="bottom"/>
            <w:tcBorders>
              <w:bottom w:val="single" w:sz="8" w:color="BCBEC0"/>
            </w:tcBorders>
          </w:tcPr>
          <w:p>
            <w:pPr>
              <w:spacing w:after="0"/>
              <w:rPr>
                <w:sz w:val="20"/>
                <w:szCs w:val="20"/>
                <w:color w:val="auto"/>
              </w:rPr>
            </w:pPr>
            <w:r>
              <w:rPr>
                <w:rFonts w:ascii="Arial" w:cs="Arial" w:eastAsia="Arial" w:hAnsi="Arial"/>
                <w:sz w:val="16"/>
                <w:szCs w:val="16"/>
                <w:color w:val="auto"/>
              </w:rPr>
              <w:t>Performance period complete</w:t>
            </w:r>
          </w:p>
        </w:tc>
        <w:tc>
          <w:tcPr>
            <w:tcW w:w="1520" w:type="dxa"/>
            <w:vAlign w:val="bottom"/>
            <w:tcBorders>
              <w:bottom w:val="single" w:sz="8" w:color="BCBEC0"/>
            </w:tcBorders>
          </w:tcPr>
          <w:p>
            <w:pPr>
              <w:ind w:left="300"/>
              <w:spacing w:after="0"/>
              <w:rPr>
                <w:sz w:val="20"/>
                <w:szCs w:val="20"/>
                <w:color w:val="auto"/>
              </w:rPr>
            </w:pPr>
            <w:r>
              <w:rPr>
                <w:rFonts w:ascii="Arial" w:cs="Arial" w:eastAsia="Arial" w:hAnsi="Arial"/>
                <w:sz w:val="16"/>
                <w:szCs w:val="16"/>
                <w:color w:val="auto"/>
              </w:rPr>
              <w:t>50-52</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left="340" w:hanging="332"/>
        <w:spacing w:after="0"/>
        <w:tabs>
          <w:tab w:leader="none" w:pos="340" w:val="left"/>
        </w:tabs>
        <w:numPr>
          <w:ilvl w:val="0"/>
          <w:numId w:val="6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operating profit margin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23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all cases, the actual number of performance shares earned by an NEO will be determined at the end of the three-year period based on Company performance as measured by the performance metrics and targets set at the time of the grant, all of which are described in the following pages.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Share Award Index</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all relative measures in the performance share awards, Hubbell uses the S&amp;P Capital Goods 900 Index, which is a compilation of the S&amp;P 400 and the S&amp;P 500 Capital Goods indices and not a published index. The Compensation Committee chose this index as it is a more direct comparison to Hubbell’s business and size than any other index.</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Share Grant Design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grants made in February 2025, 2024, and 2023 were based on three equally-weighted metrics: Relative Sales Growth, Adjusted</w:t>
      </w:r>
    </w:p>
    <w:p>
      <w:pPr>
        <w:spacing w:after="0" w:line="18" w:lineRule="exact"/>
        <w:rPr>
          <w:sz w:val="20"/>
          <w:szCs w:val="20"/>
          <w:color w:val="auto"/>
        </w:rPr>
      </w:pPr>
    </w:p>
    <w:p>
      <w:pPr>
        <w:jc w:val="both"/>
        <w:spacing w:after="0" w:line="214" w:lineRule="auto"/>
        <w:rPr>
          <w:sz w:val="20"/>
          <w:szCs w:val="20"/>
          <w:color w:val="auto"/>
        </w:rPr>
      </w:pPr>
      <w:r>
        <w:rPr>
          <w:rFonts w:ascii="Arial" w:cs="Arial" w:eastAsia="Arial" w:hAnsi="Arial"/>
          <w:sz w:val="16"/>
          <w:szCs w:val="16"/>
          <w:color w:val="auto"/>
        </w:rPr>
        <w:t>Operating Profit Margin</w:t>
      </w:r>
      <w:r>
        <w:rPr>
          <w:rFonts w:ascii="Arial" w:cs="Arial" w:eastAsia="Arial" w:hAnsi="Arial"/>
          <w:sz w:val="26"/>
          <w:szCs w:val="26"/>
          <w:color w:val="auto"/>
          <w:vertAlign w:val="superscript"/>
        </w:rPr>
        <w:t>(1)</w:t>
      </w:r>
      <w:r>
        <w:rPr>
          <w:rFonts w:ascii="Arial" w:cs="Arial" w:eastAsia="Arial" w:hAnsi="Arial"/>
          <w:sz w:val="16"/>
          <w:szCs w:val="16"/>
          <w:color w:val="auto"/>
        </w:rPr>
        <w:t>, and Relative Total Shareholder Return (TSR). The table below details the metrics and calculation methodology, and explains why each metric is important to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8859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223"/>
        </w:trPr>
        <w:tc>
          <w:tcPr>
            <w:tcW w:w="1300" w:type="dxa"/>
            <w:vAlign w:val="bottom"/>
          </w:tcPr>
          <w:p>
            <w:pPr>
              <w:spacing w:after="0"/>
              <w:rPr>
                <w:sz w:val="20"/>
                <w:szCs w:val="20"/>
                <w:color w:val="auto"/>
              </w:rPr>
            </w:pPr>
            <w:r>
              <w:rPr>
                <w:rFonts w:ascii="Arial" w:cs="Arial" w:eastAsia="Arial" w:hAnsi="Arial"/>
                <w:sz w:val="16"/>
                <w:szCs w:val="16"/>
                <w:b w:val="1"/>
                <w:bCs w:val="1"/>
                <w:color w:val="auto"/>
              </w:rPr>
              <w:t>Metric</w:t>
            </w:r>
          </w:p>
        </w:tc>
        <w:tc>
          <w:tcPr>
            <w:tcW w:w="1060" w:type="dxa"/>
            <w:vAlign w:val="bottom"/>
          </w:tcPr>
          <w:p>
            <w:pPr>
              <w:ind w:left="220"/>
              <w:spacing w:after="0"/>
              <w:rPr>
                <w:sz w:val="20"/>
                <w:szCs w:val="20"/>
                <w:color w:val="auto"/>
              </w:rPr>
            </w:pPr>
            <w:r>
              <w:rPr>
                <w:rFonts w:ascii="Arial" w:cs="Arial" w:eastAsia="Arial" w:hAnsi="Arial"/>
                <w:sz w:val="16"/>
                <w:szCs w:val="16"/>
                <w:b w:val="1"/>
                <w:bCs w:val="1"/>
                <w:color w:val="auto"/>
              </w:rPr>
              <w:t>Weight</w:t>
            </w:r>
          </w:p>
        </w:tc>
        <w:tc>
          <w:tcPr>
            <w:tcW w:w="4400" w:type="dxa"/>
            <w:vAlign w:val="bottom"/>
          </w:tcPr>
          <w:p>
            <w:pPr>
              <w:ind w:left="300"/>
              <w:spacing w:after="0"/>
              <w:rPr>
                <w:sz w:val="20"/>
                <w:szCs w:val="20"/>
                <w:color w:val="auto"/>
              </w:rPr>
            </w:pPr>
            <w:r>
              <w:rPr>
                <w:rFonts w:ascii="Arial" w:cs="Arial" w:eastAsia="Arial" w:hAnsi="Arial"/>
                <w:sz w:val="16"/>
                <w:szCs w:val="16"/>
                <w:b w:val="1"/>
                <w:bCs w:val="1"/>
                <w:color w:val="auto"/>
              </w:rPr>
              <w:t>How is it calculated?</w:t>
            </w:r>
          </w:p>
        </w:tc>
      </w:tr>
      <w:tr>
        <w:trPr>
          <w:trHeight w:val="209"/>
        </w:trPr>
        <w:tc>
          <w:tcPr>
            <w:tcW w:w="1300" w:type="dxa"/>
            <w:vAlign w:val="bottom"/>
          </w:tcPr>
          <w:p>
            <w:pPr>
              <w:spacing w:after="0"/>
              <w:rPr>
                <w:sz w:val="20"/>
                <w:szCs w:val="20"/>
                <w:color w:val="auto"/>
              </w:rPr>
            </w:pPr>
            <w:r>
              <w:rPr>
                <w:rFonts w:ascii="Arial" w:cs="Arial" w:eastAsia="Arial" w:hAnsi="Arial"/>
                <w:sz w:val="16"/>
                <w:szCs w:val="16"/>
                <w:b w:val="1"/>
                <w:bCs w:val="1"/>
                <w:color w:val="auto"/>
              </w:rPr>
              <w:t>Relative Sales</w:t>
            </w:r>
          </w:p>
        </w:tc>
        <w:tc>
          <w:tcPr>
            <w:tcW w:w="1060" w:type="dxa"/>
            <w:vAlign w:val="bottom"/>
          </w:tcPr>
          <w:p>
            <w:pPr>
              <w:ind w:left="220"/>
              <w:spacing w:after="0"/>
              <w:rPr>
                <w:sz w:val="20"/>
                <w:szCs w:val="20"/>
                <w:color w:val="auto"/>
              </w:rPr>
            </w:pPr>
            <w:r>
              <w:rPr>
                <w:rFonts w:ascii="Arial" w:cs="Arial" w:eastAsia="Arial" w:hAnsi="Arial"/>
                <w:sz w:val="16"/>
                <w:szCs w:val="16"/>
                <w:b w:val="1"/>
                <w:bCs w:val="1"/>
                <w:color w:val="auto"/>
              </w:rPr>
              <w:t>34%</w:t>
            </w:r>
          </w:p>
        </w:tc>
        <w:tc>
          <w:tcPr>
            <w:tcW w:w="4400" w:type="dxa"/>
            <w:vAlign w:val="bottom"/>
          </w:tcPr>
          <w:p>
            <w:pPr>
              <w:ind w:left="300"/>
              <w:spacing w:after="0"/>
              <w:rPr>
                <w:sz w:val="20"/>
                <w:szCs w:val="20"/>
                <w:color w:val="auto"/>
              </w:rPr>
            </w:pPr>
            <w:r>
              <w:rPr>
                <w:rFonts w:ascii="Arial" w:cs="Arial" w:eastAsia="Arial" w:hAnsi="Arial"/>
                <w:sz w:val="16"/>
                <w:szCs w:val="16"/>
                <w:color w:val="auto"/>
              </w:rPr>
              <w:t>Hubbell’s compounded annual growth rate as compared</w:t>
            </w:r>
          </w:p>
        </w:tc>
      </w:tr>
      <w:tr>
        <w:trPr>
          <w:trHeight w:val="189"/>
        </w:trPr>
        <w:tc>
          <w:tcPr>
            <w:tcW w:w="1300" w:type="dxa"/>
            <w:vAlign w:val="bottom"/>
          </w:tcPr>
          <w:p>
            <w:pPr>
              <w:spacing w:after="0"/>
              <w:rPr>
                <w:sz w:val="20"/>
                <w:szCs w:val="20"/>
                <w:color w:val="auto"/>
              </w:rPr>
            </w:pPr>
            <w:r>
              <w:rPr>
                <w:rFonts w:ascii="Arial" w:cs="Arial" w:eastAsia="Arial" w:hAnsi="Arial"/>
                <w:sz w:val="16"/>
                <w:szCs w:val="16"/>
                <w:b w:val="1"/>
                <w:bCs w:val="1"/>
                <w:color w:val="auto"/>
              </w:rPr>
              <w:t>Growth</w:t>
            </w:r>
          </w:p>
        </w:tc>
        <w:tc>
          <w:tcPr>
            <w:tcW w:w="1060" w:type="dxa"/>
            <w:vAlign w:val="bottom"/>
          </w:tcPr>
          <w:p>
            <w:pPr>
              <w:spacing w:after="0"/>
              <w:rPr>
                <w:sz w:val="16"/>
                <w:szCs w:val="16"/>
                <w:color w:val="auto"/>
              </w:rPr>
            </w:pPr>
          </w:p>
        </w:tc>
        <w:tc>
          <w:tcPr>
            <w:tcW w:w="4400" w:type="dxa"/>
            <w:vAlign w:val="bottom"/>
          </w:tcPr>
          <w:p>
            <w:pPr>
              <w:ind w:left="300"/>
              <w:spacing w:after="0"/>
              <w:rPr>
                <w:sz w:val="20"/>
                <w:szCs w:val="20"/>
                <w:color w:val="auto"/>
              </w:rPr>
            </w:pPr>
            <w:r>
              <w:rPr>
                <w:rFonts w:ascii="Arial" w:cs="Arial" w:eastAsia="Arial" w:hAnsi="Arial"/>
                <w:sz w:val="16"/>
                <w:szCs w:val="16"/>
                <w:color w:val="auto"/>
              </w:rPr>
              <w:t>to the compounded annual growth rate for the companies</w:t>
            </w:r>
          </w:p>
        </w:tc>
      </w:tr>
      <w:tr>
        <w:trPr>
          <w:trHeight w:val="215"/>
        </w:trPr>
        <w:tc>
          <w:tcPr>
            <w:tcW w:w="1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6"/>
                <w:szCs w:val="16"/>
                <w:color w:val="auto"/>
              </w:rPr>
              <w:t>that make up the S&amp;P Capital Goods 900 Index.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Why is it included in the LTI Program?</w:t>
      </w:r>
    </w:p>
    <w:p>
      <w:pPr>
        <w:spacing w:after="0" w:line="5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Drives growth initiatives, including organic growth, new product development, innovation, and acquisition performance. Relative performance ensures that we are not only focused on internal growth but also focused on outpacing our peers.</w:t>
      </w:r>
    </w:p>
    <w:p>
      <w:pPr>
        <w:spacing w:after="0" w:line="1" w:lineRule="exact"/>
        <w:rPr>
          <w:sz w:val="20"/>
          <w:szCs w:val="20"/>
          <w:color w:val="auto"/>
        </w:rPr>
      </w:pPr>
    </w:p>
    <w:p>
      <w:pPr>
        <w:sectPr>
          <w:pgSz w:w="11900" w:h="16838" w:orient="portrait"/>
          <w:cols w:equalWidth="0" w:num="2">
            <w:col w:w="6820" w:space="280"/>
            <w:col w:w="4140"/>
          </w:cols>
          <w:pgMar w:left="320" w:top="238" w:right="339" w:bottom="1440" w:gutter="0" w:footer="0" w:header="0"/>
          <w:type w:val="continuous"/>
        </w:sectPr>
      </w:pPr>
    </w:p>
    <w:tbl>
      <w:tblPr>
        <w:tblLayout w:type="fixed"/>
        <w:tblInd w:w="60" w:type="dxa"/>
        <w:tblCellMar>
          <w:top w:w="0" w:type="dxa"/>
          <w:left w:w="0" w:type="dxa"/>
          <w:bottom w:w="0" w:type="dxa"/>
          <w:right w:w="0" w:type="dxa"/>
        </w:tblCellMar>
      </w:tblPr>
      <w:tr>
        <w:trPr>
          <w:trHeight w:val="178"/>
        </w:trPr>
        <w:tc>
          <w:tcPr>
            <w:tcW w:w="1380" w:type="dxa"/>
            <w:vAlign w:val="bottom"/>
          </w:tcPr>
          <w:p>
            <w:pPr>
              <w:spacing w:after="0" w:line="178" w:lineRule="exact"/>
              <w:rPr>
                <w:sz w:val="20"/>
                <w:szCs w:val="20"/>
                <w:color w:val="auto"/>
              </w:rPr>
            </w:pPr>
            <w:r>
              <w:rPr>
                <w:rFonts w:ascii="Arial" w:cs="Arial" w:eastAsia="Arial" w:hAnsi="Arial"/>
                <w:sz w:val="16"/>
                <w:szCs w:val="16"/>
                <w:b w:val="1"/>
                <w:bCs w:val="1"/>
                <w:color w:val="auto"/>
              </w:rPr>
              <w:t>Adjusted</w:t>
            </w:r>
          </w:p>
        </w:tc>
        <w:tc>
          <w:tcPr>
            <w:tcW w:w="880" w:type="dxa"/>
            <w:vAlign w:val="bottom"/>
          </w:tcPr>
          <w:p>
            <w:pPr>
              <w:jc w:val="right"/>
              <w:ind w:right="319"/>
              <w:spacing w:after="0" w:line="178" w:lineRule="exact"/>
              <w:rPr>
                <w:sz w:val="20"/>
                <w:szCs w:val="20"/>
                <w:color w:val="auto"/>
              </w:rPr>
            </w:pPr>
            <w:r>
              <w:rPr>
                <w:rFonts w:ascii="Arial" w:cs="Arial" w:eastAsia="Arial" w:hAnsi="Arial"/>
                <w:sz w:val="16"/>
                <w:szCs w:val="16"/>
                <w:b w:val="1"/>
                <w:bCs w:val="1"/>
                <w:color w:val="auto"/>
              </w:rPr>
              <w:t>33%</w:t>
            </w:r>
          </w:p>
        </w:tc>
        <w:tc>
          <w:tcPr>
            <w:tcW w:w="4280" w:type="dxa"/>
            <w:vAlign w:val="bottom"/>
          </w:tcPr>
          <w:p>
            <w:pPr>
              <w:ind w:left="400"/>
              <w:spacing w:after="0" w:line="178" w:lineRule="exact"/>
              <w:rPr>
                <w:sz w:val="20"/>
                <w:szCs w:val="20"/>
                <w:color w:val="auto"/>
              </w:rPr>
            </w:pPr>
            <w:r>
              <w:rPr>
                <w:rFonts w:ascii="Arial" w:cs="Arial" w:eastAsia="Arial" w:hAnsi="Arial"/>
                <w:sz w:val="16"/>
                <w:szCs w:val="16"/>
                <w:color w:val="auto"/>
              </w:rPr>
              <w:t>Adjusted operating income divided by net sales, as</w:t>
            </w:r>
          </w:p>
        </w:tc>
      </w:tr>
      <w:tr>
        <w:trPr>
          <w:trHeight w:val="188"/>
        </w:trPr>
        <w:tc>
          <w:tcPr>
            <w:tcW w:w="1380" w:type="dxa"/>
            <w:vAlign w:val="bottom"/>
          </w:tcPr>
          <w:p>
            <w:pPr>
              <w:spacing w:after="0"/>
              <w:rPr>
                <w:sz w:val="20"/>
                <w:szCs w:val="20"/>
                <w:color w:val="auto"/>
              </w:rPr>
            </w:pPr>
            <w:r>
              <w:rPr>
                <w:rFonts w:ascii="Arial" w:cs="Arial" w:eastAsia="Arial" w:hAnsi="Arial"/>
                <w:sz w:val="16"/>
                <w:szCs w:val="16"/>
                <w:b w:val="1"/>
                <w:bCs w:val="1"/>
                <w:color w:val="auto"/>
              </w:rPr>
              <w:t>Operating Profit</w:t>
            </w:r>
          </w:p>
        </w:tc>
        <w:tc>
          <w:tcPr>
            <w:tcW w:w="880" w:type="dxa"/>
            <w:vAlign w:val="bottom"/>
          </w:tcPr>
          <w:p>
            <w:pPr>
              <w:spacing w:after="0"/>
              <w:rPr>
                <w:sz w:val="16"/>
                <w:szCs w:val="16"/>
                <w:color w:val="auto"/>
              </w:rPr>
            </w:pPr>
          </w:p>
        </w:tc>
        <w:tc>
          <w:tcPr>
            <w:tcW w:w="4280" w:type="dxa"/>
            <w:vAlign w:val="bottom"/>
          </w:tcPr>
          <w:p>
            <w:pPr>
              <w:ind w:left="400"/>
              <w:spacing w:after="0"/>
              <w:rPr>
                <w:sz w:val="20"/>
                <w:szCs w:val="20"/>
                <w:color w:val="auto"/>
              </w:rPr>
            </w:pPr>
            <w:r>
              <w:rPr>
                <w:rFonts w:ascii="Arial" w:cs="Arial" w:eastAsia="Arial" w:hAnsi="Arial"/>
                <w:sz w:val="16"/>
                <w:szCs w:val="16"/>
                <w:color w:val="auto"/>
              </w:rPr>
              <w:t>compared to a target set at the beginning of the three-</w:t>
            </w:r>
          </w:p>
        </w:tc>
      </w:tr>
      <w:tr>
        <w:trPr>
          <w:trHeight w:val="369"/>
        </w:trPr>
        <w:tc>
          <w:tcPr>
            <w:tcW w:w="1380" w:type="dxa"/>
            <w:vAlign w:val="bottom"/>
          </w:tcPr>
          <w:p>
            <w:pPr>
              <w:spacing w:after="0"/>
              <w:rPr>
                <w:sz w:val="20"/>
                <w:szCs w:val="20"/>
                <w:color w:val="auto"/>
              </w:rPr>
            </w:pPr>
            <w:r>
              <w:rPr>
                <w:rFonts w:ascii="Arial" w:cs="Arial" w:eastAsia="Arial" w:hAnsi="Arial"/>
                <w:sz w:val="16"/>
                <w:szCs w:val="16"/>
                <w:b w:val="1"/>
                <w:bCs w:val="1"/>
                <w:color w:val="auto"/>
              </w:rPr>
              <w:t>Margin</w:t>
            </w:r>
            <w:r>
              <w:rPr>
                <w:rFonts w:ascii="Arial" w:cs="Arial" w:eastAsia="Arial" w:hAnsi="Arial"/>
                <w:sz w:val="26"/>
                <w:szCs w:val="26"/>
                <w:b w:val="1"/>
                <w:bCs w:val="1"/>
                <w:color w:val="auto"/>
                <w:vertAlign w:val="superscript"/>
              </w:rPr>
              <w:t>(1)</w:t>
            </w:r>
          </w:p>
        </w:tc>
        <w:tc>
          <w:tcPr>
            <w:tcW w:w="880" w:type="dxa"/>
            <w:vAlign w:val="bottom"/>
          </w:tcPr>
          <w:p>
            <w:pPr>
              <w:spacing w:after="0"/>
              <w:rPr>
                <w:sz w:val="24"/>
                <w:szCs w:val="24"/>
                <w:color w:val="auto"/>
              </w:rPr>
            </w:pPr>
          </w:p>
        </w:tc>
        <w:tc>
          <w:tcPr>
            <w:tcW w:w="4280" w:type="dxa"/>
            <w:vAlign w:val="bottom"/>
          </w:tcPr>
          <w:p>
            <w:pPr>
              <w:ind w:left="400"/>
              <w:spacing w:after="0"/>
              <w:rPr>
                <w:sz w:val="20"/>
                <w:szCs w:val="20"/>
                <w:color w:val="auto"/>
              </w:rPr>
            </w:pPr>
            <w:r>
              <w:rPr>
                <w:rFonts w:ascii="Arial" w:cs="Arial" w:eastAsia="Arial" w:hAnsi="Arial"/>
                <w:sz w:val="16"/>
                <w:szCs w:val="16"/>
                <w:color w:val="auto"/>
              </w:rPr>
              <w:t>year performance period.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50" w:lineRule="auto"/>
        <w:rPr>
          <w:sz w:val="20"/>
          <w:szCs w:val="20"/>
          <w:color w:val="auto"/>
        </w:rPr>
      </w:pPr>
      <w:r>
        <w:rPr>
          <w:rFonts w:ascii="Arial" w:cs="Arial" w:eastAsia="Arial" w:hAnsi="Arial"/>
          <w:sz w:val="16"/>
          <w:szCs w:val="16"/>
          <w:color w:val="auto"/>
        </w:rPr>
        <w:t>Focuses NEOs on margin expansion and productivity while they execute operational objectives, including footprint optimization and manufacturing and procurement efficiency.</w:t>
      </w:r>
    </w:p>
    <w:p>
      <w:pPr>
        <w:spacing w:after="0" w:line="1" w:lineRule="exact"/>
        <w:rPr>
          <w:sz w:val="20"/>
          <w:szCs w:val="20"/>
          <w:color w:val="auto"/>
        </w:rPr>
      </w:pPr>
    </w:p>
    <w:p>
      <w:pPr>
        <w:sectPr>
          <w:pgSz w:w="11900" w:h="16838" w:orient="portrait"/>
          <w:cols w:equalWidth="0" w:num="2">
            <w:col w:w="6600" w:space="500"/>
            <w:col w:w="4140"/>
          </w:cols>
          <w:pgMar w:left="320" w:top="238" w:right="339" w:bottom="1440" w:gutter="0" w:footer="0" w:header="0"/>
          <w:type w:val="continuous"/>
        </w:sectPr>
      </w:pPr>
    </w:p>
    <w:tbl>
      <w:tblPr>
        <w:tblLayout w:type="fixed"/>
        <w:tblInd w:w="60" w:type="dxa"/>
        <w:tblCellMar>
          <w:top w:w="0" w:type="dxa"/>
          <w:left w:w="0" w:type="dxa"/>
          <w:bottom w:w="0" w:type="dxa"/>
          <w:right w:w="0" w:type="dxa"/>
        </w:tblCellMar>
      </w:tblPr>
      <w:tr>
        <w:trPr>
          <w:trHeight w:val="180"/>
        </w:trPr>
        <w:tc>
          <w:tcPr>
            <w:tcW w:w="1260" w:type="dxa"/>
            <w:vAlign w:val="bottom"/>
          </w:tcPr>
          <w:p>
            <w:pPr>
              <w:spacing w:after="0" w:line="180" w:lineRule="exact"/>
              <w:rPr>
                <w:sz w:val="20"/>
                <w:szCs w:val="20"/>
                <w:color w:val="auto"/>
              </w:rPr>
            </w:pPr>
            <w:r>
              <w:rPr>
                <w:rFonts w:ascii="Arial" w:cs="Arial" w:eastAsia="Arial" w:hAnsi="Arial"/>
                <w:sz w:val="16"/>
                <w:szCs w:val="16"/>
                <w:b w:val="1"/>
                <w:bCs w:val="1"/>
                <w:color w:val="auto"/>
              </w:rPr>
              <w:t>Relative TSR</w:t>
            </w:r>
          </w:p>
        </w:tc>
        <w:tc>
          <w:tcPr>
            <w:tcW w:w="1000" w:type="dxa"/>
            <w:vAlign w:val="bottom"/>
          </w:tcPr>
          <w:p>
            <w:pPr>
              <w:jc w:val="right"/>
              <w:ind w:right="319"/>
              <w:spacing w:after="0" w:line="180" w:lineRule="exact"/>
              <w:rPr>
                <w:sz w:val="20"/>
                <w:szCs w:val="20"/>
                <w:color w:val="auto"/>
              </w:rPr>
            </w:pPr>
            <w:r>
              <w:rPr>
                <w:rFonts w:ascii="Arial" w:cs="Arial" w:eastAsia="Arial" w:hAnsi="Arial"/>
                <w:sz w:val="16"/>
                <w:szCs w:val="16"/>
                <w:b w:val="1"/>
                <w:bCs w:val="1"/>
                <w:color w:val="auto"/>
              </w:rPr>
              <w:t>33%</w:t>
            </w:r>
          </w:p>
        </w:tc>
        <w:tc>
          <w:tcPr>
            <w:tcW w:w="4400" w:type="dxa"/>
            <w:vAlign w:val="bottom"/>
          </w:tcPr>
          <w:p>
            <w:pPr>
              <w:ind w:left="400"/>
              <w:spacing w:after="0" w:line="180" w:lineRule="exact"/>
              <w:rPr>
                <w:sz w:val="20"/>
                <w:szCs w:val="20"/>
                <w:color w:val="auto"/>
              </w:rPr>
            </w:pPr>
            <w:r>
              <w:rPr>
                <w:rFonts w:ascii="Arial" w:cs="Arial" w:eastAsia="Arial" w:hAnsi="Arial"/>
                <w:sz w:val="16"/>
                <w:szCs w:val="16"/>
                <w:color w:val="auto"/>
              </w:rPr>
              <w:t>Total Shareholder Return (average of the last 20 trading</w:t>
            </w:r>
          </w:p>
        </w:tc>
      </w:tr>
      <w:tr>
        <w:trPr>
          <w:trHeight w:val="189"/>
        </w:trPr>
        <w:tc>
          <w:tcPr>
            <w:tcW w:w="1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0" w:type="dxa"/>
            <w:vAlign w:val="bottom"/>
          </w:tcPr>
          <w:p>
            <w:pPr>
              <w:ind w:left="400"/>
              <w:spacing w:after="0"/>
              <w:rPr>
                <w:sz w:val="20"/>
                <w:szCs w:val="20"/>
                <w:color w:val="auto"/>
              </w:rPr>
            </w:pPr>
            <w:r>
              <w:rPr>
                <w:rFonts w:ascii="Arial" w:cs="Arial" w:eastAsia="Arial" w:hAnsi="Arial"/>
                <w:sz w:val="16"/>
                <w:szCs w:val="16"/>
                <w:color w:val="auto"/>
              </w:rPr>
              <w:t>days of the preceding performance period compared to</w:t>
            </w:r>
          </w:p>
        </w:tc>
      </w:tr>
      <w:tr>
        <w:trPr>
          <w:trHeight w:val="205"/>
        </w:trPr>
        <w:tc>
          <w:tcPr>
            <w:tcW w:w="1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400" w:type="dxa"/>
            <w:vAlign w:val="bottom"/>
          </w:tcPr>
          <w:p>
            <w:pPr>
              <w:ind w:left="400"/>
              <w:spacing w:after="0"/>
              <w:rPr>
                <w:sz w:val="20"/>
                <w:szCs w:val="20"/>
                <w:color w:val="auto"/>
              </w:rPr>
            </w:pPr>
            <w:r>
              <w:rPr>
                <w:rFonts w:ascii="Arial" w:cs="Arial" w:eastAsia="Arial" w:hAnsi="Arial"/>
                <w:sz w:val="16"/>
                <w:szCs w:val="16"/>
                <w:color w:val="auto"/>
              </w:rPr>
              <w:t>the average of the last 20 trading days of the</w:t>
            </w:r>
          </w:p>
        </w:tc>
      </w:tr>
    </w:tbl>
    <w:p>
      <w:pPr>
        <w:jc w:val="both"/>
        <w:ind w:left="2720"/>
        <w:spacing w:after="0" w:line="256" w:lineRule="auto"/>
        <w:rPr>
          <w:sz w:val="20"/>
          <w:szCs w:val="20"/>
          <w:color w:val="auto"/>
        </w:rPr>
      </w:pPr>
      <w:r>
        <w:rPr>
          <w:rFonts w:ascii="Arial" w:cs="Arial" w:eastAsia="Arial" w:hAnsi="Arial"/>
          <w:sz w:val="16"/>
          <w:szCs w:val="16"/>
          <w:color w:val="auto"/>
        </w:rPr>
        <w:t>performance period, with dividends reinvested as shares), as compared to TSR for the companies that make up the S&amp;P Capital Goods 900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20"/>
        <w:spacing w:after="0" w:line="258" w:lineRule="auto"/>
        <w:rPr>
          <w:sz w:val="20"/>
          <w:szCs w:val="20"/>
          <w:color w:val="auto"/>
        </w:rPr>
      </w:pPr>
      <w:r>
        <w:rPr>
          <w:rFonts w:ascii="Arial" w:cs="Arial" w:eastAsia="Arial" w:hAnsi="Arial"/>
          <w:sz w:val="16"/>
          <w:szCs w:val="16"/>
          <w:color w:val="auto"/>
        </w:rPr>
        <w:t>Provides balance between internal and external performance and ensures alignment with shareholder value creation.</w:t>
      </w:r>
    </w:p>
    <w:p>
      <w:pPr>
        <w:spacing w:after="0" w:line="603" w:lineRule="exact"/>
        <w:rPr>
          <w:sz w:val="20"/>
          <w:szCs w:val="20"/>
          <w:color w:val="auto"/>
        </w:rPr>
      </w:pPr>
    </w:p>
    <w:p>
      <w:pPr>
        <w:sectPr>
          <w:pgSz w:w="11900" w:h="16838" w:orient="portrait"/>
          <w:cols w:equalWidth="0" w:num="2">
            <w:col w:w="6880" w:space="220"/>
            <w:col w:w="4140"/>
          </w:cols>
          <w:pgMar w:left="320" w:top="238" w:right="339" w:bottom="1440" w:gutter="0" w:footer="0" w:header="0"/>
          <w:type w:val="continuous"/>
        </w:sectPr>
      </w:pPr>
    </w:p>
    <w:p>
      <w:pPr>
        <w:jc w:val="both"/>
        <w:ind w:left="340" w:hanging="332"/>
        <w:spacing w:after="0"/>
        <w:tabs>
          <w:tab w:leader="none" w:pos="340" w:val="left"/>
        </w:tabs>
        <w:numPr>
          <w:ilvl w:val="0"/>
          <w:numId w:val="6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operating profit margin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23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50</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Share Grant Targets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table below sets out each metric at the enterprise level, the respective goals for the three-year performance period, and the payout percentage of performance shares that would be earned at each specified level of performance. The relative performance and resulting payout scale is designed to align executive compensation with meaningful levels of performance while ensuring appropriate rewards for achieving superior outcomes. This structure, which is reflective of market and peer group practices balances risk and reward for the Company and shareholders. Internally, we communicate to our executives the quartile performance of our peers and Hubbell for each metric and focus our executives on achieving top or 2nd quartile performance, while looking to avoid 3rd or 4th quartile performance.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2320" w:type="dxa"/>
            <w:vAlign w:val="bottom"/>
            <w:tcBorders>
              <w:bottom w:val="single" w:sz="8" w:color="FFE933"/>
            </w:tcBorders>
            <w:shd w:val="clear" w:color="auto" w:fill="FFE933"/>
          </w:tcPr>
          <w:p>
            <w:pPr>
              <w:spacing w:after="0"/>
              <w:rPr>
                <w:sz w:val="24"/>
                <w:szCs w:val="24"/>
                <w:color w:val="auto"/>
              </w:rPr>
            </w:pPr>
          </w:p>
        </w:tc>
        <w:tc>
          <w:tcPr>
            <w:tcW w:w="5960" w:type="dxa"/>
            <w:vAlign w:val="bottom"/>
            <w:tcBorders>
              <w:bottom w:val="single" w:sz="8" w:color="FFE933"/>
            </w:tcBorders>
            <w:gridSpan w:val="2"/>
            <w:shd w:val="clear" w:color="auto" w:fill="FFE933"/>
          </w:tcPr>
          <w:p>
            <w:pPr>
              <w:jc w:val="right"/>
              <w:ind w:right="679"/>
              <w:spacing w:after="0"/>
              <w:rPr>
                <w:sz w:val="20"/>
                <w:szCs w:val="20"/>
                <w:color w:val="auto"/>
              </w:rPr>
            </w:pPr>
            <w:r>
              <w:rPr>
                <w:rFonts w:ascii="Arial" w:cs="Arial" w:eastAsia="Arial" w:hAnsi="Arial"/>
                <w:sz w:val="16"/>
                <w:szCs w:val="16"/>
                <w:b w:val="1"/>
                <w:bCs w:val="1"/>
                <w:color w:val="auto"/>
              </w:rPr>
              <w:t>RELATIVE SALES GROWTH AND RELATIVE TSR</w:t>
            </w:r>
          </w:p>
        </w:tc>
        <w:tc>
          <w:tcPr>
            <w:tcW w:w="2100" w:type="dxa"/>
            <w:vAlign w:val="bottom"/>
            <w:tcBorders>
              <w:bottom w:val="single" w:sz="8" w:color="FFE933"/>
            </w:tcBorders>
            <w:shd w:val="clear" w:color="auto" w:fill="FFE933"/>
          </w:tcPr>
          <w:p>
            <w:pPr>
              <w:spacing w:after="0"/>
              <w:rPr>
                <w:sz w:val="24"/>
                <w:szCs w:val="24"/>
                <w:color w:val="auto"/>
              </w:rPr>
            </w:pPr>
          </w:p>
        </w:tc>
        <w:tc>
          <w:tcPr>
            <w:tcW w:w="860" w:type="dxa"/>
            <w:vAlign w:val="bottom"/>
            <w:tcBorders>
              <w:bottom w:val="single" w:sz="8" w:color="FFE933"/>
            </w:tcBorders>
            <w:shd w:val="clear" w:color="auto" w:fill="FFE933"/>
          </w:tcPr>
          <w:p>
            <w:pPr>
              <w:spacing w:after="0"/>
              <w:rPr>
                <w:sz w:val="24"/>
                <w:szCs w:val="24"/>
                <w:color w:val="auto"/>
              </w:rPr>
            </w:pPr>
          </w:p>
        </w:tc>
      </w:tr>
      <w:tr>
        <w:trPr>
          <w:trHeight w:val="230"/>
        </w:trPr>
        <w:tc>
          <w:tcPr>
            <w:tcW w:w="2320" w:type="dxa"/>
            <w:vAlign w:val="bottom"/>
            <w:tcBorders>
              <w:bottom w:val="single" w:sz="8" w:color="BCBEC0"/>
            </w:tcBorders>
          </w:tcPr>
          <w:p>
            <w:pPr>
              <w:spacing w:after="0"/>
              <w:rPr>
                <w:sz w:val="19"/>
                <w:szCs w:val="19"/>
                <w:color w:val="auto"/>
              </w:rPr>
            </w:pPr>
          </w:p>
        </w:tc>
        <w:tc>
          <w:tcPr>
            <w:tcW w:w="3720" w:type="dxa"/>
            <w:vAlign w:val="bottom"/>
            <w:tcBorders>
              <w:bottom w:val="single" w:sz="8" w:color="BCBEC0"/>
            </w:tcBorders>
          </w:tcPr>
          <w:p>
            <w:pPr>
              <w:spacing w:after="0"/>
              <w:rPr>
                <w:sz w:val="19"/>
                <w:szCs w:val="19"/>
                <w:color w:val="auto"/>
              </w:rPr>
            </w:pPr>
          </w:p>
        </w:tc>
        <w:tc>
          <w:tcPr>
            <w:tcW w:w="2240" w:type="dxa"/>
            <w:vAlign w:val="bottom"/>
            <w:tcBorders>
              <w:bottom w:val="single" w:sz="8" w:color="BCBEC0"/>
            </w:tcBorders>
          </w:tcPr>
          <w:p>
            <w:pPr>
              <w:spacing w:after="0"/>
              <w:rPr>
                <w:sz w:val="19"/>
                <w:szCs w:val="19"/>
                <w:color w:val="auto"/>
              </w:rPr>
            </w:pPr>
          </w:p>
        </w:tc>
        <w:tc>
          <w:tcPr>
            <w:tcW w:w="2100" w:type="dxa"/>
            <w:vAlign w:val="bottom"/>
            <w:tcBorders>
              <w:bottom w:val="single" w:sz="8" w:color="BCBEC0"/>
            </w:tcBorders>
          </w:tcPr>
          <w:p>
            <w:pPr>
              <w:jc w:val="right"/>
              <w:ind w:right="160"/>
              <w:spacing w:after="0" w:line="230" w:lineRule="exact"/>
              <w:rPr>
                <w:sz w:val="20"/>
                <w:szCs w:val="20"/>
                <w:color w:val="auto"/>
              </w:rPr>
            </w:pPr>
            <w:r>
              <w:rPr>
                <w:rFonts w:ascii="Arial" w:cs="Arial" w:eastAsia="Arial" w:hAnsi="Arial"/>
                <w:sz w:val="16"/>
                <w:szCs w:val="16"/>
                <w:b w:val="1"/>
                <w:bCs w:val="1"/>
                <w:color w:val="auto"/>
              </w:rPr>
              <w:t>Target</w:t>
            </w:r>
            <w:r>
              <w:rPr>
                <w:rFonts w:ascii="Arial" w:cs="Arial" w:eastAsia="Arial" w:hAnsi="Arial"/>
                <w:sz w:val="26"/>
                <w:szCs w:val="26"/>
                <w:b w:val="1"/>
                <w:bCs w:val="1"/>
                <w:color w:val="auto"/>
                <w:vertAlign w:val="superscript"/>
              </w:rPr>
              <w:t>(1)</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b w:val="1"/>
                <w:bCs w:val="1"/>
                <w:color w:val="auto"/>
              </w:rPr>
              <w:t>Payout</w:t>
            </w:r>
          </w:p>
        </w:tc>
      </w:tr>
      <w:tr>
        <w:trPr>
          <w:trHeight w:val="223"/>
        </w:trPr>
        <w:tc>
          <w:tcPr>
            <w:tcW w:w="232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Max</w:t>
            </w:r>
          </w:p>
        </w:tc>
        <w:tc>
          <w:tcPr>
            <w:tcW w:w="3720" w:type="dxa"/>
            <w:vAlign w:val="bottom"/>
            <w:tcBorders>
              <w:bottom w:val="single" w:sz="8" w:color="BCBEC0"/>
            </w:tcBorders>
          </w:tcPr>
          <w:p>
            <w:pPr>
              <w:spacing w:after="0"/>
              <w:rPr>
                <w:sz w:val="19"/>
                <w:szCs w:val="19"/>
                <w:color w:val="auto"/>
              </w:rPr>
            </w:pPr>
          </w:p>
        </w:tc>
        <w:tc>
          <w:tcPr>
            <w:tcW w:w="2240" w:type="dxa"/>
            <w:vAlign w:val="bottom"/>
            <w:tcBorders>
              <w:bottom w:val="single" w:sz="8" w:color="BCBEC0"/>
            </w:tcBorders>
          </w:tcPr>
          <w:p>
            <w:pPr>
              <w:spacing w:after="0"/>
              <w:rPr>
                <w:sz w:val="19"/>
                <w:szCs w:val="19"/>
                <w:color w:val="auto"/>
              </w:rPr>
            </w:pPr>
          </w:p>
        </w:tc>
        <w:tc>
          <w:tcPr>
            <w:tcW w:w="2100" w:type="dxa"/>
            <w:vAlign w:val="bottom"/>
            <w:tcBorders>
              <w:bottom w:val="single" w:sz="8" w:color="BCBEC0"/>
            </w:tcBorders>
          </w:tcPr>
          <w:p>
            <w:pPr>
              <w:jc w:val="right"/>
              <w:ind w:right="160"/>
              <w:spacing w:after="0" w:line="223" w:lineRule="exact"/>
              <w:rPr>
                <w:sz w:val="20"/>
                <w:szCs w:val="20"/>
                <w:color w:val="auto"/>
              </w:rPr>
            </w:pPr>
            <w:r>
              <w:rPr>
                <w:rFonts w:ascii="Arial" w:cs="Arial" w:eastAsia="Arial" w:hAnsi="Arial"/>
                <w:sz w:val="16"/>
                <w:szCs w:val="16"/>
                <w:color w:val="auto"/>
              </w:rPr>
              <w:t>&gt;75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200%</w:t>
            </w:r>
          </w:p>
        </w:tc>
      </w:tr>
      <w:tr>
        <w:trPr>
          <w:trHeight w:val="223"/>
        </w:trPr>
        <w:tc>
          <w:tcPr>
            <w:tcW w:w="232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Target</w:t>
            </w:r>
          </w:p>
        </w:tc>
        <w:tc>
          <w:tcPr>
            <w:tcW w:w="3720" w:type="dxa"/>
            <w:vAlign w:val="bottom"/>
            <w:tcBorders>
              <w:bottom w:val="single" w:sz="8" w:color="BCBEC0"/>
            </w:tcBorders>
          </w:tcPr>
          <w:p>
            <w:pPr>
              <w:spacing w:after="0"/>
              <w:rPr>
                <w:sz w:val="19"/>
                <w:szCs w:val="19"/>
                <w:color w:val="auto"/>
              </w:rPr>
            </w:pPr>
          </w:p>
        </w:tc>
        <w:tc>
          <w:tcPr>
            <w:tcW w:w="2240" w:type="dxa"/>
            <w:vAlign w:val="bottom"/>
            <w:tcBorders>
              <w:bottom w:val="single" w:sz="8" w:color="BCBEC0"/>
            </w:tcBorders>
          </w:tcPr>
          <w:p>
            <w:pPr>
              <w:spacing w:after="0"/>
              <w:rPr>
                <w:sz w:val="19"/>
                <w:szCs w:val="19"/>
                <w:color w:val="auto"/>
              </w:rPr>
            </w:pPr>
          </w:p>
        </w:tc>
        <w:tc>
          <w:tcPr>
            <w:tcW w:w="2100" w:type="dxa"/>
            <w:vAlign w:val="bottom"/>
            <w:tcBorders>
              <w:bottom w:val="single" w:sz="8" w:color="BCBEC0"/>
            </w:tcBorders>
          </w:tcPr>
          <w:p>
            <w:pPr>
              <w:jc w:val="right"/>
              <w:ind w:right="160"/>
              <w:spacing w:after="0" w:line="223" w:lineRule="exact"/>
              <w:rPr>
                <w:sz w:val="20"/>
                <w:szCs w:val="20"/>
                <w:color w:val="auto"/>
              </w:rPr>
            </w:pPr>
            <w:r>
              <w:rPr>
                <w:rFonts w:ascii="Arial" w:cs="Arial" w:eastAsia="Arial" w:hAnsi="Arial"/>
                <w:sz w:val="16"/>
                <w:szCs w:val="16"/>
                <w:color w:val="auto"/>
              </w:rPr>
              <w:t>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100%</w:t>
            </w:r>
          </w:p>
        </w:tc>
      </w:tr>
      <w:tr>
        <w:trPr>
          <w:trHeight w:val="223"/>
        </w:trPr>
        <w:tc>
          <w:tcPr>
            <w:tcW w:w="232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Threshold</w:t>
            </w:r>
          </w:p>
        </w:tc>
        <w:tc>
          <w:tcPr>
            <w:tcW w:w="3720" w:type="dxa"/>
            <w:vAlign w:val="bottom"/>
            <w:tcBorders>
              <w:bottom w:val="single" w:sz="8" w:color="BCBEC0"/>
            </w:tcBorders>
          </w:tcPr>
          <w:p>
            <w:pPr>
              <w:spacing w:after="0"/>
              <w:rPr>
                <w:sz w:val="19"/>
                <w:szCs w:val="19"/>
                <w:color w:val="auto"/>
              </w:rPr>
            </w:pPr>
          </w:p>
        </w:tc>
        <w:tc>
          <w:tcPr>
            <w:tcW w:w="2240" w:type="dxa"/>
            <w:vAlign w:val="bottom"/>
            <w:tcBorders>
              <w:bottom w:val="single" w:sz="8" w:color="BCBEC0"/>
            </w:tcBorders>
          </w:tcPr>
          <w:p>
            <w:pPr>
              <w:spacing w:after="0"/>
              <w:rPr>
                <w:sz w:val="19"/>
                <w:szCs w:val="19"/>
                <w:color w:val="auto"/>
              </w:rPr>
            </w:pPr>
          </w:p>
        </w:tc>
        <w:tc>
          <w:tcPr>
            <w:tcW w:w="2100" w:type="dxa"/>
            <w:vAlign w:val="bottom"/>
            <w:tcBorders>
              <w:bottom w:val="single" w:sz="8" w:color="BCBEC0"/>
            </w:tcBorders>
          </w:tcPr>
          <w:p>
            <w:pPr>
              <w:jc w:val="right"/>
              <w:ind w:right="160"/>
              <w:spacing w:after="0" w:line="223" w:lineRule="exact"/>
              <w:rPr>
                <w:sz w:val="20"/>
                <w:szCs w:val="20"/>
                <w:color w:val="auto"/>
              </w:rPr>
            </w:pPr>
            <w:r>
              <w:rPr>
                <w:rFonts w:ascii="Arial" w:cs="Arial" w:eastAsia="Arial" w:hAnsi="Arial"/>
                <w:sz w:val="16"/>
                <w:szCs w:val="16"/>
                <w:color w:val="auto"/>
              </w:rPr>
              <w:t>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50%</w:t>
            </w:r>
          </w:p>
        </w:tc>
      </w:tr>
      <w:tr>
        <w:trPr>
          <w:trHeight w:val="223"/>
        </w:trPr>
        <w:tc>
          <w:tcPr>
            <w:tcW w:w="232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No Payout</w:t>
            </w:r>
          </w:p>
        </w:tc>
        <w:tc>
          <w:tcPr>
            <w:tcW w:w="3720" w:type="dxa"/>
            <w:vAlign w:val="bottom"/>
            <w:tcBorders>
              <w:bottom w:val="single" w:sz="8" w:color="BCBEC0"/>
            </w:tcBorders>
          </w:tcPr>
          <w:p>
            <w:pPr>
              <w:spacing w:after="0"/>
              <w:rPr>
                <w:sz w:val="19"/>
                <w:szCs w:val="19"/>
                <w:color w:val="auto"/>
              </w:rPr>
            </w:pPr>
          </w:p>
        </w:tc>
        <w:tc>
          <w:tcPr>
            <w:tcW w:w="2240" w:type="dxa"/>
            <w:vAlign w:val="bottom"/>
            <w:tcBorders>
              <w:bottom w:val="single" w:sz="8" w:color="BCBEC0"/>
            </w:tcBorders>
          </w:tcPr>
          <w:p>
            <w:pPr>
              <w:spacing w:after="0"/>
              <w:rPr>
                <w:sz w:val="19"/>
                <w:szCs w:val="19"/>
                <w:color w:val="auto"/>
              </w:rPr>
            </w:pPr>
          </w:p>
        </w:tc>
        <w:tc>
          <w:tcPr>
            <w:tcW w:w="2100" w:type="dxa"/>
            <w:vAlign w:val="bottom"/>
            <w:tcBorders>
              <w:bottom w:val="single" w:sz="8" w:color="BCBEC0"/>
            </w:tcBorders>
          </w:tcPr>
          <w:p>
            <w:pPr>
              <w:jc w:val="right"/>
              <w:ind w:right="160"/>
              <w:spacing w:after="0" w:line="223" w:lineRule="exact"/>
              <w:rPr>
                <w:sz w:val="20"/>
                <w:szCs w:val="20"/>
                <w:color w:val="auto"/>
              </w:rPr>
            </w:pPr>
            <w:r>
              <w:rPr>
                <w:rFonts w:ascii="Arial" w:cs="Arial" w:eastAsia="Arial" w:hAnsi="Arial"/>
                <w:sz w:val="16"/>
                <w:szCs w:val="16"/>
                <w:color w:val="auto"/>
              </w:rPr>
              <w:t>&lt;25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0%</w:t>
            </w:r>
          </w:p>
        </w:tc>
      </w:tr>
      <w:tr>
        <w:trPr>
          <w:trHeight w:val="183"/>
        </w:trPr>
        <w:tc>
          <w:tcPr>
            <w:tcW w:w="2320" w:type="dxa"/>
            <w:vAlign w:val="bottom"/>
          </w:tcPr>
          <w:p>
            <w:pPr>
              <w:spacing w:after="0"/>
              <w:rPr>
                <w:sz w:val="15"/>
                <w:szCs w:val="15"/>
                <w:color w:val="auto"/>
              </w:rPr>
            </w:pPr>
          </w:p>
        </w:tc>
        <w:tc>
          <w:tcPr>
            <w:tcW w:w="5960" w:type="dxa"/>
            <w:vAlign w:val="bottom"/>
            <w:gridSpan w:val="2"/>
          </w:tcPr>
          <w:p>
            <w:pPr>
              <w:spacing w:after="0"/>
              <w:rPr>
                <w:sz w:val="15"/>
                <w:szCs w:val="15"/>
                <w:color w:val="auto"/>
              </w:rPr>
            </w:pPr>
          </w:p>
        </w:tc>
        <w:tc>
          <w:tcPr>
            <w:tcW w:w="2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338"/>
        </w:trPr>
        <w:tc>
          <w:tcPr>
            <w:tcW w:w="2320" w:type="dxa"/>
            <w:vAlign w:val="bottom"/>
            <w:shd w:val="clear" w:color="auto" w:fill="FFE933"/>
          </w:tcPr>
          <w:p>
            <w:pPr>
              <w:spacing w:after="0"/>
              <w:rPr>
                <w:sz w:val="24"/>
                <w:szCs w:val="24"/>
                <w:color w:val="auto"/>
              </w:rPr>
            </w:pPr>
          </w:p>
        </w:tc>
        <w:tc>
          <w:tcPr>
            <w:tcW w:w="5960" w:type="dxa"/>
            <w:vAlign w:val="bottom"/>
            <w:gridSpan w:val="2"/>
            <w:shd w:val="clear" w:color="auto" w:fill="FFE933"/>
          </w:tcPr>
          <w:p>
            <w:pPr>
              <w:jc w:val="right"/>
              <w:ind w:right="859"/>
              <w:spacing w:after="0"/>
              <w:rPr>
                <w:sz w:val="20"/>
                <w:szCs w:val="20"/>
                <w:color w:val="auto"/>
              </w:rPr>
            </w:pPr>
            <w:r>
              <w:rPr>
                <w:rFonts w:ascii="Arial" w:cs="Arial" w:eastAsia="Arial" w:hAnsi="Arial"/>
                <w:sz w:val="16"/>
                <w:szCs w:val="16"/>
                <w:b w:val="1"/>
                <w:bCs w:val="1"/>
                <w:color w:val="auto"/>
              </w:rPr>
              <w:t>ADJUSTED OPERATING PROFIT MARGIN</w:t>
            </w:r>
            <w:r>
              <w:rPr>
                <w:rFonts w:ascii="Arial" w:cs="Arial" w:eastAsia="Arial" w:hAnsi="Arial"/>
                <w:sz w:val="26"/>
                <w:szCs w:val="26"/>
                <w:b w:val="1"/>
                <w:bCs w:val="1"/>
                <w:color w:val="auto"/>
                <w:vertAlign w:val="superscript"/>
              </w:rPr>
              <w:t>(2)</w:t>
            </w:r>
          </w:p>
        </w:tc>
        <w:tc>
          <w:tcPr>
            <w:tcW w:w="2100" w:type="dxa"/>
            <w:vAlign w:val="bottom"/>
            <w:shd w:val="clear" w:color="auto" w:fill="FFE933"/>
          </w:tcPr>
          <w:p>
            <w:pPr>
              <w:spacing w:after="0"/>
              <w:rPr>
                <w:sz w:val="24"/>
                <w:szCs w:val="24"/>
                <w:color w:val="auto"/>
              </w:rPr>
            </w:pPr>
          </w:p>
        </w:tc>
        <w:tc>
          <w:tcPr>
            <w:tcW w:w="860" w:type="dxa"/>
            <w:vAlign w:val="bottom"/>
            <w:shd w:val="clear" w:color="auto" w:fill="FFE933"/>
          </w:tcPr>
          <w:p>
            <w:pPr>
              <w:spacing w:after="0"/>
              <w:rPr>
                <w:sz w:val="24"/>
                <w:szCs w:val="24"/>
                <w:color w:val="auto"/>
              </w:rPr>
            </w:pPr>
          </w:p>
        </w:tc>
      </w:tr>
      <w:tr>
        <w:trPr>
          <w:trHeight w:val="229"/>
        </w:trPr>
        <w:tc>
          <w:tcPr>
            <w:tcW w:w="2320" w:type="dxa"/>
            <w:vAlign w:val="bottom"/>
            <w:tcBorders>
              <w:bottom w:val="single" w:sz="8" w:color="BCBEC0"/>
            </w:tcBorders>
          </w:tcPr>
          <w:p>
            <w:pPr>
              <w:spacing w:after="0"/>
              <w:rPr>
                <w:sz w:val="19"/>
                <w:szCs w:val="19"/>
                <w:color w:val="auto"/>
              </w:rPr>
            </w:pPr>
          </w:p>
        </w:tc>
        <w:tc>
          <w:tcPr>
            <w:tcW w:w="3720" w:type="dxa"/>
            <w:vAlign w:val="bottom"/>
            <w:tcBorders>
              <w:bottom w:val="single" w:sz="8" w:color="BCBEC0"/>
            </w:tcBorders>
          </w:tcPr>
          <w:p>
            <w:pPr>
              <w:jc w:val="right"/>
              <w:ind w:right="319"/>
              <w:spacing w:after="0" w:line="230" w:lineRule="exact"/>
              <w:rPr>
                <w:sz w:val="20"/>
                <w:szCs w:val="20"/>
                <w:color w:val="auto"/>
              </w:rPr>
            </w:pPr>
            <w:r>
              <w:rPr>
                <w:rFonts w:ascii="Arial" w:cs="Arial" w:eastAsia="Arial" w:hAnsi="Arial"/>
                <w:sz w:val="16"/>
                <w:szCs w:val="16"/>
                <w:b w:val="1"/>
                <w:bCs w:val="1"/>
                <w:color w:val="auto"/>
              </w:rPr>
              <w:t>2025</w:t>
            </w:r>
            <w:r>
              <w:rPr>
                <w:rFonts w:ascii="Arial" w:cs="Arial" w:eastAsia="Arial" w:hAnsi="Arial"/>
                <w:sz w:val="16"/>
                <w:szCs w:val="16"/>
                <w:color w:val="auto"/>
              </w:rPr>
              <w:t>-</w:t>
            </w:r>
            <w:r>
              <w:rPr>
                <w:rFonts w:ascii="Arial" w:cs="Arial" w:eastAsia="Arial" w:hAnsi="Arial"/>
                <w:sz w:val="16"/>
                <w:szCs w:val="16"/>
                <w:b w:val="1"/>
                <w:bCs w:val="1"/>
                <w:color w:val="auto"/>
              </w:rPr>
              <w:t>2027 Target</w:t>
            </w:r>
            <w:r>
              <w:rPr>
                <w:rFonts w:ascii="Arial" w:cs="Arial" w:eastAsia="Arial" w:hAnsi="Arial"/>
                <w:sz w:val="26"/>
                <w:szCs w:val="26"/>
                <w:b w:val="1"/>
                <w:bCs w:val="1"/>
                <w:color w:val="auto"/>
                <w:vertAlign w:val="superscript"/>
              </w:rPr>
              <w:t>(1)</w:t>
            </w:r>
          </w:p>
        </w:tc>
        <w:tc>
          <w:tcPr>
            <w:tcW w:w="2240" w:type="dxa"/>
            <w:vAlign w:val="bottom"/>
            <w:tcBorders>
              <w:bottom w:val="single" w:sz="8" w:color="BCBEC0"/>
            </w:tcBorders>
          </w:tcPr>
          <w:p>
            <w:pPr>
              <w:jc w:val="right"/>
              <w:ind w:right="299"/>
              <w:spacing w:after="0" w:line="230" w:lineRule="exact"/>
              <w:rPr>
                <w:sz w:val="20"/>
                <w:szCs w:val="20"/>
                <w:color w:val="auto"/>
              </w:rPr>
            </w:pPr>
            <w:r>
              <w:rPr>
                <w:rFonts w:ascii="Arial" w:cs="Arial" w:eastAsia="Arial" w:hAnsi="Arial"/>
                <w:sz w:val="16"/>
                <w:szCs w:val="16"/>
                <w:b w:val="1"/>
                <w:bCs w:val="1"/>
                <w:color w:val="auto"/>
              </w:rPr>
              <w:t>2024</w:t>
            </w:r>
            <w:r>
              <w:rPr>
                <w:rFonts w:ascii="Arial" w:cs="Arial" w:eastAsia="Arial" w:hAnsi="Arial"/>
                <w:sz w:val="16"/>
                <w:szCs w:val="16"/>
                <w:color w:val="auto"/>
              </w:rPr>
              <w:t>-</w:t>
            </w:r>
            <w:r>
              <w:rPr>
                <w:rFonts w:ascii="Arial" w:cs="Arial" w:eastAsia="Arial" w:hAnsi="Arial"/>
                <w:sz w:val="16"/>
                <w:szCs w:val="16"/>
                <w:b w:val="1"/>
                <w:bCs w:val="1"/>
                <w:color w:val="auto"/>
              </w:rPr>
              <w:t>2026 Target</w:t>
            </w:r>
            <w:r>
              <w:rPr>
                <w:rFonts w:ascii="Arial" w:cs="Arial" w:eastAsia="Arial" w:hAnsi="Arial"/>
                <w:sz w:val="26"/>
                <w:szCs w:val="26"/>
                <w:b w:val="1"/>
                <w:bCs w:val="1"/>
                <w:color w:val="auto"/>
                <w:vertAlign w:val="superscript"/>
              </w:rPr>
              <w:t>(1)</w:t>
            </w:r>
          </w:p>
        </w:tc>
        <w:tc>
          <w:tcPr>
            <w:tcW w:w="2100" w:type="dxa"/>
            <w:vAlign w:val="bottom"/>
            <w:tcBorders>
              <w:bottom w:val="single" w:sz="8" w:color="BCBEC0"/>
            </w:tcBorders>
          </w:tcPr>
          <w:p>
            <w:pPr>
              <w:jc w:val="right"/>
              <w:ind w:right="160"/>
              <w:spacing w:after="0" w:line="230" w:lineRule="exact"/>
              <w:rPr>
                <w:sz w:val="20"/>
                <w:szCs w:val="20"/>
                <w:color w:val="auto"/>
              </w:rPr>
            </w:pPr>
            <w:r>
              <w:rPr>
                <w:rFonts w:ascii="Arial" w:cs="Arial" w:eastAsia="Arial" w:hAnsi="Arial"/>
                <w:sz w:val="16"/>
                <w:szCs w:val="16"/>
                <w:b w:val="1"/>
                <w:bCs w:val="1"/>
                <w:color w:val="auto"/>
              </w:rPr>
              <w:t>2023</w:t>
            </w:r>
            <w:r>
              <w:rPr>
                <w:rFonts w:ascii="Arial" w:cs="Arial" w:eastAsia="Arial" w:hAnsi="Arial"/>
                <w:sz w:val="16"/>
                <w:szCs w:val="16"/>
                <w:color w:val="auto"/>
              </w:rPr>
              <w:t>-</w:t>
            </w:r>
            <w:r>
              <w:rPr>
                <w:rFonts w:ascii="Arial" w:cs="Arial" w:eastAsia="Arial" w:hAnsi="Arial"/>
                <w:sz w:val="16"/>
                <w:szCs w:val="16"/>
                <w:b w:val="1"/>
                <w:bCs w:val="1"/>
                <w:color w:val="auto"/>
              </w:rPr>
              <w:t>2025 Target</w:t>
            </w:r>
            <w:r>
              <w:rPr>
                <w:rFonts w:ascii="Arial" w:cs="Arial" w:eastAsia="Arial" w:hAnsi="Arial"/>
                <w:sz w:val="26"/>
                <w:szCs w:val="26"/>
                <w:b w:val="1"/>
                <w:bCs w:val="1"/>
                <w:color w:val="auto"/>
                <w:vertAlign w:val="superscript"/>
              </w:rPr>
              <w:t>(1)</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b w:val="1"/>
                <w:bCs w:val="1"/>
                <w:color w:val="auto"/>
              </w:rPr>
              <w:t>Payout</w:t>
            </w:r>
          </w:p>
        </w:tc>
      </w:tr>
      <w:tr>
        <w:trPr>
          <w:trHeight w:val="183"/>
        </w:trPr>
        <w:tc>
          <w:tcPr>
            <w:tcW w:w="23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Max</w:t>
            </w:r>
          </w:p>
        </w:tc>
        <w:tc>
          <w:tcPr>
            <w:tcW w:w="3720" w:type="dxa"/>
            <w:vAlign w:val="bottom"/>
            <w:tcBorders>
              <w:bottom w:val="single" w:sz="8" w:color="BCBEC0"/>
            </w:tcBorders>
          </w:tcPr>
          <w:p>
            <w:pPr>
              <w:jc w:val="right"/>
              <w:ind w:right="319"/>
              <w:spacing w:after="0" w:line="183" w:lineRule="exact"/>
              <w:rPr>
                <w:sz w:val="20"/>
                <w:szCs w:val="20"/>
                <w:color w:val="auto"/>
              </w:rPr>
            </w:pPr>
            <w:r>
              <w:rPr>
                <w:rFonts w:ascii="Arial" w:cs="Arial" w:eastAsia="Arial" w:hAnsi="Arial"/>
                <w:sz w:val="16"/>
                <w:szCs w:val="16"/>
                <w:color w:val="auto"/>
              </w:rPr>
              <w:t>22.50%</w:t>
            </w:r>
          </w:p>
        </w:tc>
        <w:tc>
          <w:tcPr>
            <w:tcW w:w="224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22.75%</w:t>
            </w:r>
          </w:p>
        </w:tc>
        <w:tc>
          <w:tcPr>
            <w:tcW w:w="2100" w:type="dxa"/>
            <w:vAlign w:val="bottom"/>
            <w:tcBorders>
              <w:bottom w:val="single" w:sz="8" w:color="BCBEC0"/>
            </w:tcBorders>
          </w:tcPr>
          <w:p>
            <w:pPr>
              <w:jc w:val="right"/>
              <w:ind w:right="160"/>
              <w:spacing w:after="0" w:line="183" w:lineRule="exact"/>
              <w:rPr>
                <w:sz w:val="20"/>
                <w:szCs w:val="20"/>
                <w:color w:val="auto"/>
              </w:rPr>
            </w:pPr>
            <w:r>
              <w:rPr>
                <w:rFonts w:ascii="Arial" w:cs="Arial" w:eastAsia="Arial" w:hAnsi="Arial"/>
                <w:sz w:val="16"/>
                <w:szCs w:val="16"/>
                <w:color w:val="auto"/>
              </w:rPr>
              <w:t>18.75%</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200%</w:t>
            </w:r>
          </w:p>
        </w:tc>
      </w:tr>
      <w:tr>
        <w:trPr>
          <w:trHeight w:val="183"/>
        </w:trPr>
        <w:tc>
          <w:tcPr>
            <w:tcW w:w="23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Target</w:t>
            </w:r>
          </w:p>
        </w:tc>
        <w:tc>
          <w:tcPr>
            <w:tcW w:w="3720" w:type="dxa"/>
            <w:vAlign w:val="bottom"/>
            <w:tcBorders>
              <w:bottom w:val="single" w:sz="8" w:color="BCBEC0"/>
            </w:tcBorders>
          </w:tcPr>
          <w:p>
            <w:pPr>
              <w:jc w:val="right"/>
              <w:ind w:right="319"/>
              <w:spacing w:after="0" w:line="183" w:lineRule="exact"/>
              <w:rPr>
                <w:sz w:val="20"/>
                <w:szCs w:val="20"/>
                <w:color w:val="auto"/>
              </w:rPr>
            </w:pPr>
            <w:r>
              <w:rPr>
                <w:rFonts w:ascii="Arial" w:cs="Arial" w:eastAsia="Arial" w:hAnsi="Arial"/>
                <w:sz w:val="16"/>
                <w:szCs w:val="16"/>
                <w:color w:val="auto"/>
              </w:rPr>
              <w:t>21.00%</w:t>
            </w:r>
          </w:p>
        </w:tc>
        <w:tc>
          <w:tcPr>
            <w:tcW w:w="224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21.00%</w:t>
            </w:r>
          </w:p>
        </w:tc>
        <w:tc>
          <w:tcPr>
            <w:tcW w:w="2100" w:type="dxa"/>
            <w:vAlign w:val="bottom"/>
            <w:tcBorders>
              <w:bottom w:val="single" w:sz="8" w:color="BCBEC0"/>
            </w:tcBorders>
          </w:tcPr>
          <w:p>
            <w:pPr>
              <w:jc w:val="right"/>
              <w:ind w:right="160"/>
              <w:spacing w:after="0" w:line="183" w:lineRule="exact"/>
              <w:rPr>
                <w:sz w:val="20"/>
                <w:szCs w:val="20"/>
                <w:color w:val="auto"/>
              </w:rPr>
            </w:pPr>
            <w:r>
              <w:rPr>
                <w:rFonts w:ascii="Arial" w:cs="Arial" w:eastAsia="Arial" w:hAnsi="Arial"/>
                <w:sz w:val="16"/>
                <w:szCs w:val="16"/>
                <w:color w:val="auto"/>
              </w:rPr>
              <w:t>17.00%</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100%</w:t>
            </w:r>
          </w:p>
        </w:tc>
      </w:tr>
      <w:tr>
        <w:trPr>
          <w:trHeight w:val="183"/>
        </w:trPr>
        <w:tc>
          <w:tcPr>
            <w:tcW w:w="23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Threshold</w:t>
            </w:r>
          </w:p>
        </w:tc>
        <w:tc>
          <w:tcPr>
            <w:tcW w:w="3720" w:type="dxa"/>
            <w:vAlign w:val="bottom"/>
            <w:tcBorders>
              <w:bottom w:val="single" w:sz="8" w:color="BCBEC0"/>
            </w:tcBorders>
          </w:tcPr>
          <w:p>
            <w:pPr>
              <w:jc w:val="right"/>
              <w:ind w:right="319"/>
              <w:spacing w:after="0" w:line="183" w:lineRule="exact"/>
              <w:rPr>
                <w:sz w:val="20"/>
                <w:szCs w:val="20"/>
                <w:color w:val="auto"/>
              </w:rPr>
            </w:pPr>
            <w:r>
              <w:rPr>
                <w:rFonts w:ascii="Arial" w:cs="Arial" w:eastAsia="Arial" w:hAnsi="Arial"/>
                <w:sz w:val="16"/>
                <w:szCs w:val="16"/>
                <w:color w:val="auto"/>
              </w:rPr>
              <w:t>18.50%</w:t>
            </w:r>
          </w:p>
        </w:tc>
        <w:tc>
          <w:tcPr>
            <w:tcW w:w="224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19.25%</w:t>
            </w:r>
          </w:p>
        </w:tc>
        <w:tc>
          <w:tcPr>
            <w:tcW w:w="2100" w:type="dxa"/>
            <w:vAlign w:val="bottom"/>
            <w:tcBorders>
              <w:bottom w:val="single" w:sz="8" w:color="BCBEC0"/>
            </w:tcBorders>
          </w:tcPr>
          <w:p>
            <w:pPr>
              <w:jc w:val="right"/>
              <w:ind w:right="160"/>
              <w:spacing w:after="0" w:line="183" w:lineRule="exact"/>
              <w:rPr>
                <w:sz w:val="20"/>
                <w:szCs w:val="20"/>
                <w:color w:val="auto"/>
              </w:rPr>
            </w:pPr>
            <w:r>
              <w:rPr>
                <w:rFonts w:ascii="Arial" w:cs="Arial" w:eastAsia="Arial" w:hAnsi="Arial"/>
                <w:sz w:val="16"/>
                <w:szCs w:val="16"/>
                <w:color w:val="auto"/>
              </w:rPr>
              <w:t>15.25%</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50%</w:t>
            </w:r>
          </w:p>
        </w:tc>
      </w:tr>
      <w:tr>
        <w:trPr>
          <w:trHeight w:val="183"/>
        </w:trPr>
        <w:tc>
          <w:tcPr>
            <w:tcW w:w="23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No Payout</w:t>
            </w:r>
          </w:p>
        </w:tc>
        <w:tc>
          <w:tcPr>
            <w:tcW w:w="3720" w:type="dxa"/>
            <w:vAlign w:val="bottom"/>
            <w:tcBorders>
              <w:bottom w:val="single" w:sz="8" w:color="BCBEC0"/>
            </w:tcBorders>
          </w:tcPr>
          <w:p>
            <w:pPr>
              <w:jc w:val="right"/>
              <w:ind w:right="319"/>
              <w:spacing w:after="0" w:line="183" w:lineRule="exact"/>
              <w:rPr>
                <w:sz w:val="20"/>
                <w:szCs w:val="20"/>
                <w:color w:val="auto"/>
              </w:rPr>
            </w:pPr>
            <w:r>
              <w:rPr>
                <w:rFonts w:ascii="Arial" w:cs="Arial" w:eastAsia="Arial" w:hAnsi="Arial"/>
                <w:sz w:val="16"/>
                <w:szCs w:val="16"/>
                <w:color w:val="auto"/>
              </w:rPr>
              <w:t>&lt;18.50%</w:t>
            </w:r>
          </w:p>
        </w:tc>
        <w:tc>
          <w:tcPr>
            <w:tcW w:w="2240" w:type="dxa"/>
            <w:vAlign w:val="bottom"/>
            <w:tcBorders>
              <w:bottom w:val="single" w:sz="8" w:color="BCBEC0"/>
            </w:tcBorders>
          </w:tcPr>
          <w:p>
            <w:pPr>
              <w:jc w:val="right"/>
              <w:ind w:right="299"/>
              <w:spacing w:after="0" w:line="183" w:lineRule="exact"/>
              <w:rPr>
                <w:sz w:val="20"/>
                <w:szCs w:val="20"/>
                <w:color w:val="auto"/>
              </w:rPr>
            </w:pPr>
            <w:r>
              <w:rPr>
                <w:rFonts w:ascii="Arial" w:cs="Arial" w:eastAsia="Arial" w:hAnsi="Arial"/>
                <w:sz w:val="16"/>
                <w:szCs w:val="16"/>
                <w:color w:val="auto"/>
              </w:rPr>
              <w:t>&lt;19.25%</w:t>
            </w:r>
          </w:p>
        </w:tc>
        <w:tc>
          <w:tcPr>
            <w:tcW w:w="2100" w:type="dxa"/>
            <w:vAlign w:val="bottom"/>
            <w:tcBorders>
              <w:bottom w:val="single" w:sz="8" w:color="BCBEC0"/>
            </w:tcBorders>
          </w:tcPr>
          <w:p>
            <w:pPr>
              <w:jc w:val="right"/>
              <w:ind w:right="160"/>
              <w:spacing w:after="0" w:line="183" w:lineRule="exact"/>
              <w:rPr>
                <w:sz w:val="20"/>
                <w:szCs w:val="20"/>
                <w:color w:val="auto"/>
              </w:rPr>
            </w:pPr>
            <w:r>
              <w:rPr>
                <w:rFonts w:ascii="Arial" w:cs="Arial" w:eastAsia="Arial" w:hAnsi="Arial"/>
                <w:sz w:val="16"/>
                <w:szCs w:val="16"/>
                <w:color w:val="auto"/>
              </w:rPr>
              <w:t>&lt;15.25%</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0%</w:t>
            </w:r>
          </w:p>
        </w:tc>
      </w:tr>
    </w:tbl>
    <w:p>
      <w:pPr>
        <w:spacing w:after="0" w:line="47" w:lineRule="exact"/>
        <w:rPr>
          <w:sz w:val="20"/>
          <w:szCs w:val="20"/>
          <w:color w:val="auto"/>
        </w:rPr>
      </w:pPr>
    </w:p>
    <w:p>
      <w:pPr>
        <w:ind w:left="340" w:hanging="332"/>
        <w:spacing w:after="0" w:line="192" w:lineRule="auto"/>
        <w:tabs>
          <w:tab w:leader="none" w:pos="340" w:val="left"/>
        </w:tabs>
        <w:numPr>
          <w:ilvl w:val="0"/>
          <w:numId w:val="6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If the Company’s performance for any of the performance metrics falls between the percentages listed on the table, the percentage performance shares earned will be determined by linear interpolation.</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tabs>
          <w:tab w:leader="none" w:pos="340" w:val="left"/>
        </w:tabs>
        <w:numPr>
          <w:ilvl w:val="0"/>
          <w:numId w:val="6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operating profit margin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231"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Performance Share Grant Payout (2023 Grant)</w:t>
      </w:r>
    </w:p>
    <w:p>
      <w:pPr>
        <w:spacing w:after="0" w:line="19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performance period for the LTI performance share grant made in February 2023 ended on December 31, 2025. The table below shows Hubbell’s actual performance with respect to each metric and the associated payouts.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00" w:type="dxa"/>
            <w:vAlign w:val="bottom"/>
            <w:shd w:val="clear" w:color="auto" w:fill="FFE933"/>
          </w:tcPr>
          <w:p>
            <w:pPr>
              <w:spacing w:after="0"/>
              <w:rPr>
                <w:sz w:val="19"/>
                <w:szCs w:val="19"/>
                <w:color w:val="auto"/>
              </w:rPr>
            </w:pPr>
          </w:p>
        </w:tc>
        <w:tc>
          <w:tcPr>
            <w:tcW w:w="2640" w:type="dxa"/>
            <w:vAlign w:val="bottom"/>
            <w:shd w:val="clear" w:color="auto" w:fill="FFE933"/>
          </w:tcPr>
          <w:p>
            <w:pPr>
              <w:spacing w:after="0"/>
              <w:rPr>
                <w:sz w:val="19"/>
                <w:szCs w:val="19"/>
                <w:color w:val="auto"/>
              </w:rPr>
            </w:pPr>
          </w:p>
        </w:tc>
        <w:tc>
          <w:tcPr>
            <w:tcW w:w="1760" w:type="dxa"/>
            <w:vAlign w:val="bottom"/>
            <w:shd w:val="clear" w:color="auto" w:fill="FFE933"/>
          </w:tcPr>
          <w:p>
            <w:pPr>
              <w:jc w:val="right"/>
              <w:ind w:right="260"/>
              <w:spacing w:after="0"/>
              <w:rPr>
                <w:sz w:val="20"/>
                <w:szCs w:val="20"/>
                <w:color w:val="auto"/>
              </w:rPr>
            </w:pPr>
            <w:r>
              <w:rPr>
                <w:rFonts w:ascii="Arial" w:cs="Arial" w:eastAsia="Arial" w:hAnsi="Arial"/>
                <w:sz w:val="16"/>
                <w:szCs w:val="16"/>
                <w:b w:val="1"/>
                <w:bCs w:val="1"/>
                <w:color w:val="auto"/>
              </w:rPr>
              <w:t>Target for</w:t>
            </w:r>
          </w:p>
        </w:tc>
        <w:tc>
          <w:tcPr>
            <w:tcW w:w="1680" w:type="dxa"/>
            <w:vAlign w:val="bottom"/>
            <w:shd w:val="clear" w:color="auto" w:fill="FFE933"/>
          </w:tcPr>
          <w:p>
            <w:pPr>
              <w:jc w:val="right"/>
              <w:ind w:right="160"/>
              <w:spacing w:after="0"/>
              <w:rPr>
                <w:sz w:val="20"/>
                <w:szCs w:val="20"/>
                <w:color w:val="auto"/>
              </w:rPr>
            </w:pPr>
            <w:r>
              <w:rPr>
                <w:rFonts w:ascii="Arial" w:cs="Arial" w:eastAsia="Arial" w:hAnsi="Arial"/>
                <w:sz w:val="16"/>
                <w:szCs w:val="16"/>
                <w:b w:val="1"/>
                <w:bCs w:val="1"/>
                <w:color w:val="auto"/>
              </w:rPr>
              <w:t>Actual</w:t>
            </w:r>
          </w:p>
        </w:tc>
        <w:tc>
          <w:tcPr>
            <w:tcW w:w="860" w:type="dxa"/>
            <w:vAlign w:val="bottom"/>
            <w:shd w:val="clear" w:color="auto" w:fill="FFE933"/>
          </w:tcPr>
          <w:p>
            <w:pPr>
              <w:spacing w:after="0"/>
              <w:rPr>
                <w:sz w:val="19"/>
                <w:szCs w:val="19"/>
                <w:color w:val="auto"/>
              </w:rPr>
            </w:pPr>
          </w:p>
        </w:tc>
      </w:tr>
      <w:tr>
        <w:trPr>
          <w:trHeight w:val="237"/>
        </w:trPr>
        <w:tc>
          <w:tcPr>
            <w:tcW w:w="430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Metric</w:t>
            </w:r>
          </w:p>
        </w:tc>
        <w:tc>
          <w:tcPr>
            <w:tcW w:w="2640" w:type="dxa"/>
            <w:vAlign w:val="bottom"/>
            <w:tcBorders>
              <w:bottom w:val="single" w:sz="8" w:color="FFE933"/>
            </w:tcBorders>
            <w:shd w:val="clear" w:color="auto" w:fill="FFE933"/>
          </w:tcPr>
          <w:p>
            <w:pPr>
              <w:jc w:val="right"/>
              <w:ind w:right="319"/>
              <w:spacing w:after="0"/>
              <w:rPr>
                <w:sz w:val="20"/>
                <w:szCs w:val="20"/>
                <w:color w:val="auto"/>
              </w:rPr>
            </w:pPr>
            <w:r>
              <w:rPr>
                <w:rFonts w:ascii="Arial" w:cs="Arial" w:eastAsia="Arial" w:hAnsi="Arial"/>
                <w:sz w:val="16"/>
                <w:szCs w:val="16"/>
                <w:b w:val="1"/>
                <w:bCs w:val="1"/>
                <w:color w:val="auto"/>
              </w:rPr>
              <w:t>Weight</w:t>
            </w:r>
          </w:p>
        </w:tc>
        <w:tc>
          <w:tcPr>
            <w:tcW w:w="1760" w:type="dxa"/>
            <w:vAlign w:val="bottom"/>
            <w:tcBorders>
              <w:bottom w:val="single" w:sz="8" w:color="FFE933"/>
            </w:tcBorders>
            <w:shd w:val="clear" w:color="auto" w:fill="FFE933"/>
          </w:tcPr>
          <w:p>
            <w:pPr>
              <w:jc w:val="right"/>
              <w:ind w:right="260"/>
              <w:spacing w:after="0"/>
              <w:rPr>
                <w:sz w:val="20"/>
                <w:szCs w:val="20"/>
                <w:color w:val="auto"/>
              </w:rPr>
            </w:pPr>
            <w:r>
              <w:rPr>
                <w:rFonts w:ascii="Arial" w:cs="Arial" w:eastAsia="Arial" w:hAnsi="Arial"/>
                <w:sz w:val="16"/>
                <w:szCs w:val="16"/>
                <w:b w:val="1"/>
                <w:bCs w:val="1"/>
                <w:color w:val="auto"/>
              </w:rPr>
              <w:t>100% Payout</w:t>
            </w:r>
          </w:p>
        </w:tc>
        <w:tc>
          <w:tcPr>
            <w:tcW w:w="1680" w:type="dxa"/>
            <w:vAlign w:val="bottom"/>
            <w:tcBorders>
              <w:bottom w:val="single" w:sz="8" w:color="FFE933"/>
            </w:tcBorders>
            <w:shd w:val="clear" w:color="auto" w:fill="FFE933"/>
          </w:tcPr>
          <w:p>
            <w:pPr>
              <w:jc w:val="right"/>
              <w:ind w:right="160"/>
              <w:spacing w:after="0"/>
              <w:rPr>
                <w:sz w:val="20"/>
                <w:szCs w:val="20"/>
                <w:color w:val="auto"/>
              </w:rPr>
            </w:pPr>
            <w:r>
              <w:rPr>
                <w:rFonts w:ascii="Arial" w:cs="Arial" w:eastAsia="Arial" w:hAnsi="Arial"/>
                <w:sz w:val="16"/>
                <w:szCs w:val="16"/>
                <w:b w:val="1"/>
                <w:bCs w:val="1"/>
                <w:color w:val="auto"/>
              </w:rPr>
              <w:t>Performance</w:t>
            </w:r>
          </w:p>
        </w:tc>
        <w:tc>
          <w:tcPr>
            <w:tcW w:w="860" w:type="dxa"/>
            <w:vAlign w:val="bottom"/>
            <w:tcBorders>
              <w:bottom w:val="single" w:sz="8" w:color="FFE933"/>
            </w:tcBorders>
            <w:shd w:val="clear" w:color="auto" w:fill="FFE933"/>
          </w:tcPr>
          <w:p>
            <w:pPr>
              <w:jc w:val="right"/>
              <w:spacing w:after="0"/>
              <w:rPr>
                <w:sz w:val="20"/>
                <w:szCs w:val="20"/>
                <w:color w:val="auto"/>
              </w:rPr>
            </w:pPr>
            <w:r>
              <w:rPr>
                <w:rFonts w:ascii="Arial" w:cs="Arial" w:eastAsia="Arial" w:hAnsi="Arial"/>
                <w:sz w:val="16"/>
                <w:szCs w:val="16"/>
                <w:b w:val="1"/>
                <w:bCs w:val="1"/>
                <w:color w:val="auto"/>
              </w:rPr>
              <w:t>Payout</w:t>
            </w:r>
          </w:p>
        </w:tc>
      </w:tr>
      <w:tr>
        <w:trPr>
          <w:trHeight w:val="229"/>
        </w:trPr>
        <w:tc>
          <w:tcPr>
            <w:tcW w:w="4300" w:type="dxa"/>
            <w:vAlign w:val="bottom"/>
            <w:tcBorders>
              <w:bottom w:val="single" w:sz="8" w:color="BCBEC0"/>
            </w:tcBorders>
          </w:tcPr>
          <w:p>
            <w:pPr>
              <w:ind w:left="60"/>
              <w:spacing w:after="0" w:line="230" w:lineRule="exact"/>
              <w:rPr>
                <w:sz w:val="20"/>
                <w:szCs w:val="20"/>
                <w:color w:val="auto"/>
              </w:rPr>
            </w:pPr>
            <w:r>
              <w:rPr>
                <w:rFonts w:ascii="Arial" w:cs="Arial" w:eastAsia="Arial" w:hAnsi="Arial"/>
                <w:sz w:val="16"/>
                <w:szCs w:val="16"/>
                <w:color w:val="auto"/>
              </w:rPr>
              <w:t>Projected Relative Sales Growth</w:t>
            </w:r>
            <w:r>
              <w:rPr>
                <w:rFonts w:ascii="Arial" w:cs="Arial" w:eastAsia="Arial" w:hAnsi="Arial"/>
                <w:sz w:val="26"/>
                <w:szCs w:val="26"/>
                <w:color w:val="auto"/>
                <w:vertAlign w:val="superscript"/>
              </w:rPr>
              <w:t>(1)</w:t>
            </w:r>
          </w:p>
        </w:tc>
        <w:tc>
          <w:tcPr>
            <w:tcW w:w="2640" w:type="dxa"/>
            <w:vAlign w:val="bottom"/>
            <w:tcBorders>
              <w:bottom w:val="single" w:sz="8" w:color="BCBEC0"/>
            </w:tcBorders>
          </w:tcPr>
          <w:p>
            <w:pPr>
              <w:jc w:val="right"/>
              <w:ind w:right="319"/>
              <w:spacing w:after="0"/>
              <w:rPr>
                <w:sz w:val="20"/>
                <w:szCs w:val="20"/>
                <w:color w:val="auto"/>
              </w:rPr>
            </w:pPr>
            <w:r>
              <w:rPr>
                <w:rFonts w:ascii="Arial" w:cs="Arial" w:eastAsia="Arial" w:hAnsi="Arial"/>
                <w:sz w:val="16"/>
                <w:szCs w:val="16"/>
                <w:color w:val="auto"/>
              </w:rPr>
              <w:t>34%</w:t>
            </w:r>
          </w:p>
        </w:tc>
        <w:tc>
          <w:tcPr>
            <w:tcW w:w="1760" w:type="dxa"/>
            <w:vAlign w:val="bottom"/>
            <w:tcBorders>
              <w:bottom w:val="single" w:sz="8" w:color="BCBEC0"/>
            </w:tcBorders>
          </w:tcPr>
          <w:p>
            <w:pPr>
              <w:jc w:val="right"/>
              <w:ind w:right="260"/>
              <w:spacing w:after="0" w:line="230" w:lineRule="exact"/>
              <w:rPr>
                <w:sz w:val="20"/>
                <w:szCs w:val="20"/>
                <w:color w:val="auto"/>
              </w:rPr>
            </w:pPr>
            <w:r>
              <w:rPr>
                <w:rFonts w:ascii="Arial" w:cs="Arial" w:eastAsia="Arial" w:hAnsi="Arial"/>
                <w:sz w:val="16"/>
                <w:szCs w:val="16"/>
                <w:color w:val="auto"/>
              </w:rPr>
              <w:t>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1680" w:type="dxa"/>
            <w:vAlign w:val="bottom"/>
            <w:tcBorders>
              <w:bottom w:val="single" w:sz="8" w:color="BCBEC0"/>
            </w:tcBorders>
          </w:tcPr>
          <w:p>
            <w:pPr>
              <w:jc w:val="right"/>
              <w:ind w:right="160"/>
              <w:spacing w:after="0" w:line="230" w:lineRule="exact"/>
              <w:rPr>
                <w:sz w:val="20"/>
                <w:szCs w:val="20"/>
                <w:color w:val="auto"/>
              </w:rPr>
            </w:pPr>
            <w:r>
              <w:rPr>
                <w:rFonts w:ascii="Arial" w:cs="Arial" w:eastAsia="Arial" w:hAnsi="Arial"/>
                <w:sz w:val="16"/>
                <w:szCs w:val="16"/>
                <w:color w:val="auto"/>
              </w:rPr>
              <w:t>62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percentile</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147%</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Adjusted Operating Profit Margin</w:t>
            </w:r>
            <w:r>
              <w:rPr>
                <w:rFonts w:ascii="Arial" w:cs="Arial" w:eastAsia="Arial" w:hAnsi="Arial"/>
                <w:sz w:val="25"/>
                <w:szCs w:val="25"/>
                <w:color w:val="auto"/>
                <w:vertAlign w:val="superscript"/>
              </w:rPr>
              <w:t>(2)</w:t>
            </w:r>
          </w:p>
        </w:tc>
        <w:tc>
          <w:tcPr>
            <w:tcW w:w="2640" w:type="dxa"/>
            <w:vAlign w:val="bottom"/>
            <w:tcBorders>
              <w:bottom w:val="single" w:sz="8" w:color="BCBEC0"/>
            </w:tcBorders>
          </w:tcPr>
          <w:p>
            <w:pPr>
              <w:jc w:val="right"/>
              <w:ind w:right="319"/>
              <w:spacing w:after="0"/>
              <w:rPr>
                <w:sz w:val="20"/>
                <w:szCs w:val="20"/>
                <w:color w:val="auto"/>
              </w:rPr>
            </w:pPr>
            <w:r>
              <w:rPr>
                <w:rFonts w:ascii="Arial" w:cs="Arial" w:eastAsia="Arial" w:hAnsi="Arial"/>
                <w:sz w:val="16"/>
                <w:szCs w:val="16"/>
                <w:color w:val="auto"/>
              </w:rPr>
              <w:t>33%</w:t>
            </w:r>
          </w:p>
        </w:tc>
        <w:tc>
          <w:tcPr>
            <w:tcW w:w="1760" w:type="dxa"/>
            <w:vAlign w:val="bottom"/>
            <w:tcBorders>
              <w:bottom w:val="single" w:sz="8" w:color="BCBEC0"/>
            </w:tcBorders>
          </w:tcPr>
          <w:p>
            <w:pPr>
              <w:jc w:val="right"/>
              <w:ind w:right="260"/>
              <w:spacing w:after="0"/>
              <w:rPr>
                <w:sz w:val="20"/>
                <w:szCs w:val="20"/>
                <w:color w:val="auto"/>
              </w:rPr>
            </w:pPr>
            <w:r>
              <w:rPr>
                <w:rFonts w:ascii="Arial" w:cs="Arial" w:eastAsia="Arial" w:hAnsi="Arial"/>
                <w:sz w:val="16"/>
                <w:szCs w:val="16"/>
                <w:color w:val="auto"/>
              </w:rPr>
              <w:t>17.0%</w:t>
            </w:r>
          </w:p>
        </w:tc>
        <w:tc>
          <w:tcPr>
            <w:tcW w:w="1680" w:type="dxa"/>
            <w:vAlign w:val="bottom"/>
            <w:tcBorders>
              <w:bottom w:val="single" w:sz="8" w:color="BCBEC0"/>
            </w:tcBorders>
          </w:tcPr>
          <w:p>
            <w:pPr>
              <w:jc w:val="right"/>
              <w:ind w:right="160"/>
              <w:spacing w:after="0"/>
              <w:rPr>
                <w:sz w:val="20"/>
                <w:szCs w:val="20"/>
                <w:color w:val="auto"/>
              </w:rPr>
            </w:pPr>
            <w:r>
              <w:rPr>
                <w:rFonts w:ascii="Arial" w:cs="Arial" w:eastAsia="Arial" w:hAnsi="Arial"/>
                <w:sz w:val="16"/>
                <w:szCs w:val="16"/>
                <w:color w:val="auto"/>
              </w:rPr>
              <w:t>22.7%</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200%</w:t>
            </w:r>
          </w:p>
        </w:tc>
      </w:tr>
      <w:tr>
        <w:trPr>
          <w:trHeight w:val="223"/>
        </w:trPr>
        <w:tc>
          <w:tcPr>
            <w:tcW w:w="430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Relative TSR</w:t>
            </w:r>
          </w:p>
        </w:tc>
        <w:tc>
          <w:tcPr>
            <w:tcW w:w="2640" w:type="dxa"/>
            <w:vAlign w:val="bottom"/>
            <w:tcBorders>
              <w:bottom w:val="single" w:sz="8" w:color="BCBEC0"/>
            </w:tcBorders>
          </w:tcPr>
          <w:p>
            <w:pPr>
              <w:jc w:val="right"/>
              <w:ind w:right="319"/>
              <w:spacing w:after="0"/>
              <w:rPr>
                <w:sz w:val="20"/>
                <w:szCs w:val="20"/>
                <w:color w:val="auto"/>
              </w:rPr>
            </w:pPr>
            <w:r>
              <w:rPr>
                <w:rFonts w:ascii="Arial" w:cs="Arial" w:eastAsia="Arial" w:hAnsi="Arial"/>
                <w:sz w:val="16"/>
                <w:szCs w:val="16"/>
                <w:color w:val="auto"/>
              </w:rPr>
              <w:t>33%</w:t>
            </w:r>
          </w:p>
        </w:tc>
        <w:tc>
          <w:tcPr>
            <w:tcW w:w="1760" w:type="dxa"/>
            <w:vAlign w:val="bottom"/>
            <w:tcBorders>
              <w:bottom w:val="single" w:sz="8" w:color="BCBEC0"/>
            </w:tcBorders>
          </w:tcPr>
          <w:p>
            <w:pPr>
              <w:jc w:val="right"/>
              <w:ind w:right="260"/>
              <w:spacing w:after="0" w:line="223" w:lineRule="exact"/>
              <w:rPr>
                <w:sz w:val="20"/>
                <w:szCs w:val="20"/>
                <w:color w:val="auto"/>
              </w:rPr>
            </w:pPr>
            <w:r>
              <w:rPr>
                <w:rFonts w:ascii="Arial" w:cs="Arial" w:eastAsia="Arial" w:hAnsi="Arial"/>
                <w:sz w:val="16"/>
                <w:szCs w:val="16"/>
                <w:color w:val="auto"/>
              </w:rPr>
              <w:t>50</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1680" w:type="dxa"/>
            <w:vAlign w:val="bottom"/>
            <w:tcBorders>
              <w:bottom w:val="single" w:sz="8" w:color="BCBEC0"/>
            </w:tcBorders>
          </w:tcPr>
          <w:p>
            <w:pPr>
              <w:jc w:val="right"/>
              <w:ind w:right="160"/>
              <w:spacing w:after="0" w:line="223" w:lineRule="exact"/>
              <w:rPr>
                <w:sz w:val="20"/>
                <w:szCs w:val="20"/>
                <w:color w:val="auto"/>
              </w:rPr>
            </w:pPr>
            <w:r>
              <w:rPr>
                <w:rFonts w:ascii="Arial" w:cs="Arial" w:eastAsia="Arial" w:hAnsi="Arial"/>
                <w:sz w:val="16"/>
                <w:szCs w:val="16"/>
                <w:color w:val="auto"/>
              </w:rPr>
              <w:t>67</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percentile</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170%</w:t>
            </w:r>
          </w:p>
        </w:tc>
      </w:tr>
      <w:tr>
        <w:trPr>
          <w:trHeight w:val="183"/>
        </w:trPr>
        <w:tc>
          <w:tcPr>
            <w:tcW w:w="4300" w:type="dxa"/>
            <w:vAlign w:val="bottom"/>
            <w:tcBorders>
              <w:bottom w:val="single" w:sz="8" w:color="BCBEC0"/>
            </w:tcBorders>
          </w:tcPr>
          <w:p>
            <w:pPr>
              <w:spacing w:after="0"/>
              <w:rPr>
                <w:sz w:val="15"/>
                <w:szCs w:val="15"/>
                <w:color w:val="auto"/>
              </w:rPr>
            </w:pPr>
          </w:p>
        </w:tc>
        <w:tc>
          <w:tcPr>
            <w:tcW w:w="2640" w:type="dxa"/>
            <w:vAlign w:val="bottom"/>
            <w:tcBorders>
              <w:bottom w:val="single" w:sz="8" w:color="BCBEC0"/>
            </w:tcBorders>
          </w:tcPr>
          <w:p>
            <w:pPr>
              <w:spacing w:after="0"/>
              <w:rPr>
                <w:sz w:val="15"/>
                <w:szCs w:val="15"/>
                <w:color w:val="auto"/>
              </w:rPr>
            </w:pPr>
          </w:p>
        </w:tc>
        <w:tc>
          <w:tcPr>
            <w:tcW w:w="1760" w:type="dxa"/>
            <w:vAlign w:val="bottom"/>
            <w:tcBorders>
              <w:bottom w:val="single" w:sz="8" w:color="BCBEC0"/>
            </w:tcBorders>
          </w:tcPr>
          <w:p>
            <w:pPr>
              <w:spacing w:after="0"/>
              <w:rPr>
                <w:sz w:val="15"/>
                <w:szCs w:val="15"/>
                <w:color w:val="auto"/>
              </w:rPr>
            </w:pPr>
          </w:p>
        </w:tc>
        <w:tc>
          <w:tcPr>
            <w:tcW w:w="1680" w:type="dxa"/>
            <w:vAlign w:val="bottom"/>
            <w:tcBorders>
              <w:bottom w:val="single" w:sz="8" w:color="BCBEC0"/>
            </w:tcBorders>
          </w:tcPr>
          <w:p>
            <w:pPr>
              <w:spacing w:after="0"/>
              <w:rPr>
                <w:sz w:val="15"/>
                <w:szCs w:val="15"/>
                <w:color w:val="auto"/>
              </w:rPr>
            </w:pP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b w:val="1"/>
                <w:bCs w:val="1"/>
                <w:color w:val="auto"/>
              </w:rPr>
              <w:t>172%</w:t>
            </w:r>
          </w:p>
        </w:tc>
      </w:tr>
    </w:tbl>
    <w:p>
      <w:pPr>
        <w:spacing w:after="0" w:line="47" w:lineRule="exact"/>
        <w:rPr>
          <w:sz w:val="20"/>
          <w:szCs w:val="20"/>
          <w:color w:val="auto"/>
        </w:rPr>
      </w:pPr>
    </w:p>
    <w:p>
      <w:pPr>
        <w:jc w:val="both"/>
        <w:ind w:left="340" w:hanging="332"/>
        <w:spacing w:after="0"/>
        <w:tabs>
          <w:tab w:leader="none" w:pos="340" w:val="left"/>
        </w:tabs>
        <w:numPr>
          <w:ilvl w:val="0"/>
          <w:numId w:val="6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calculation of the relative sales growth measure is dependent upon public availability of financial results from our peer companies. The Compensation Committee cannot determine the level of achievement of the performance criteria until a sufficient number of S&amp;P Capital Goods 900 Index companies report their earnings for the year ended December 31, 2025. As a result, the actual payout results for the 2023-2025 performance share award grants based on Relative Sales Growth will not be determined until April 2026 and such payouts will not be approved by the Compensation Committee until after the filing of this Proxy Statement. The above projections reflect the results available as of March 23, 2026, including consensus estimates for sales growth for the Peer Group. Shareholders are cautioned that this information is preliminary, is subject to change based on the actual reported results of the S&amp;P Capital Goods 900 Index companies and has not been finalized by the Compensation Committee.</w:t>
      </w:r>
    </w:p>
    <w:p>
      <w:pPr>
        <w:spacing w:after="0" w:line="107" w:lineRule="exact"/>
        <w:rPr>
          <w:rFonts w:ascii="Arial" w:cs="Arial" w:eastAsia="Arial" w:hAnsi="Arial"/>
          <w:sz w:val="24"/>
          <w:szCs w:val="24"/>
          <w:i w:val="1"/>
          <w:iCs w:val="1"/>
          <w:color w:val="auto"/>
          <w:vertAlign w:val="superscript"/>
        </w:rPr>
      </w:pPr>
    </w:p>
    <w:p>
      <w:pPr>
        <w:jc w:val="both"/>
        <w:ind w:left="340" w:hanging="332"/>
        <w:spacing w:after="0"/>
        <w:tabs>
          <w:tab w:leader="none" w:pos="340" w:val="left"/>
        </w:tabs>
        <w:numPr>
          <w:ilvl w:val="0"/>
          <w:numId w:val="6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operating profit margin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Shares Received for the 2023 Grant</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table below shows the target shares awarded to the NEOs in February 2023 and the estimated number of shares they are expected to receive provided that the Compensation Committee approves payouts in May 2026 after reviewing published financial results for the S&amp;P Capital Goods 900 Index companies.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shd w:val="clear" w:color="auto" w:fill="FFE933"/>
          </w:tcPr>
          <w:p>
            <w:pPr>
              <w:spacing w:after="0"/>
              <w:rPr>
                <w:sz w:val="19"/>
                <w:szCs w:val="19"/>
                <w:color w:val="auto"/>
              </w:rPr>
            </w:pPr>
          </w:p>
        </w:tc>
        <w:tc>
          <w:tcPr>
            <w:tcW w:w="4660" w:type="dxa"/>
            <w:vAlign w:val="bottom"/>
            <w:shd w:val="clear" w:color="auto" w:fill="FFE933"/>
          </w:tcPr>
          <w:p>
            <w:pPr>
              <w:jc w:val="right"/>
              <w:ind w:right="339"/>
              <w:spacing w:after="0"/>
              <w:rPr>
                <w:sz w:val="20"/>
                <w:szCs w:val="20"/>
                <w:color w:val="auto"/>
              </w:rPr>
            </w:pPr>
            <w:r>
              <w:rPr>
                <w:rFonts w:ascii="Arial" w:cs="Arial" w:eastAsia="Arial" w:hAnsi="Arial"/>
                <w:sz w:val="16"/>
                <w:szCs w:val="16"/>
                <w:b w:val="1"/>
                <w:bCs w:val="1"/>
                <w:color w:val="auto"/>
              </w:rPr>
              <w:t>Target Shares</w:t>
            </w:r>
          </w:p>
        </w:tc>
        <w:tc>
          <w:tcPr>
            <w:tcW w:w="180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Projected Shares</w:t>
            </w:r>
          </w:p>
        </w:tc>
      </w:tr>
      <w:tr>
        <w:trPr>
          <w:trHeight w:val="237"/>
        </w:trPr>
        <w:tc>
          <w:tcPr>
            <w:tcW w:w="4780" w:type="dxa"/>
            <w:vAlign w:val="bottom"/>
            <w:tcBorders>
              <w:bottom w:val="single" w:sz="8" w:color="FFE933"/>
            </w:tcBorders>
            <w:shd w:val="clear" w:color="auto" w:fill="FFE933"/>
          </w:tcPr>
          <w:p>
            <w:pPr>
              <w:ind w:left="60"/>
              <w:spacing w:after="0"/>
              <w:rPr>
                <w:sz w:val="20"/>
                <w:szCs w:val="20"/>
                <w:color w:val="auto"/>
              </w:rPr>
            </w:pPr>
            <w:r>
              <w:rPr>
                <w:rFonts w:ascii="Arial" w:cs="Arial" w:eastAsia="Arial" w:hAnsi="Arial"/>
                <w:sz w:val="16"/>
                <w:szCs w:val="16"/>
                <w:b w:val="1"/>
                <w:bCs w:val="1"/>
                <w:color w:val="auto"/>
              </w:rPr>
              <w:t>NEO</w:t>
            </w:r>
          </w:p>
        </w:tc>
        <w:tc>
          <w:tcPr>
            <w:tcW w:w="4660" w:type="dxa"/>
            <w:vAlign w:val="bottom"/>
            <w:tcBorders>
              <w:bottom w:val="single" w:sz="8" w:color="FFE933"/>
            </w:tcBorders>
            <w:shd w:val="clear" w:color="auto" w:fill="FFE933"/>
          </w:tcPr>
          <w:p>
            <w:pPr>
              <w:jc w:val="right"/>
              <w:ind w:right="339"/>
              <w:spacing w:after="0"/>
              <w:rPr>
                <w:sz w:val="20"/>
                <w:szCs w:val="20"/>
                <w:color w:val="auto"/>
              </w:rPr>
            </w:pPr>
            <w:r>
              <w:rPr>
                <w:rFonts w:ascii="Arial" w:cs="Arial" w:eastAsia="Arial" w:hAnsi="Arial"/>
                <w:sz w:val="16"/>
                <w:szCs w:val="16"/>
                <w:b w:val="1"/>
                <w:bCs w:val="1"/>
                <w:color w:val="auto"/>
              </w:rPr>
              <w:t>(February 2023)</w:t>
            </w:r>
          </w:p>
        </w:tc>
        <w:tc>
          <w:tcPr>
            <w:tcW w:w="1800" w:type="dxa"/>
            <w:vAlign w:val="bottom"/>
            <w:tcBorders>
              <w:bottom w:val="single" w:sz="8" w:color="FFE933"/>
            </w:tcBorders>
            <w:shd w:val="clear" w:color="auto" w:fill="FFE933"/>
          </w:tcPr>
          <w:p>
            <w:pPr>
              <w:jc w:val="right"/>
              <w:spacing w:after="0"/>
              <w:rPr>
                <w:sz w:val="20"/>
                <w:szCs w:val="20"/>
                <w:color w:val="auto"/>
              </w:rPr>
            </w:pPr>
            <w:r>
              <w:rPr>
                <w:rFonts w:ascii="Arial" w:cs="Arial" w:eastAsia="Arial" w:hAnsi="Arial"/>
                <w:sz w:val="16"/>
                <w:szCs w:val="16"/>
                <w:b w:val="1"/>
                <w:bCs w:val="1"/>
                <w:color w:val="auto"/>
              </w:rPr>
              <w:t>(February 2026)</w:t>
            </w:r>
          </w:p>
        </w:tc>
      </w:tr>
      <w:tr>
        <w:trPr>
          <w:trHeight w:val="189"/>
        </w:trPr>
        <w:tc>
          <w:tcPr>
            <w:tcW w:w="478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GERBEN W. BAKKER</w:t>
            </w:r>
          </w:p>
        </w:tc>
        <w:tc>
          <w:tcPr>
            <w:tcW w:w="4660" w:type="dxa"/>
            <w:vAlign w:val="bottom"/>
            <w:tcBorders>
              <w:bottom w:val="single" w:sz="8" w:color="BCBEC0"/>
            </w:tcBorders>
          </w:tcPr>
          <w:p>
            <w:pPr>
              <w:jc w:val="right"/>
              <w:ind w:right="339"/>
              <w:spacing w:after="0"/>
              <w:rPr>
                <w:sz w:val="20"/>
                <w:szCs w:val="20"/>
                <w:color w:val="auto"/>
              </w:rPr>
            </w:pPr>
            <w:r>
              <w:rPr>
                <w:rFonts w:ascii="Arial" w:cs="Arial" w:eastAsia="Arial" w:hAnsi="Arial"/>
                <w:sz w:val="16"/>
                <w:szCs w:val="16"/>
                <w:color w:val="auto"/>
              </w:rPr>
              <w:t>11,569</w:t>
            </w:r>
          </w:p>
        </w:tc>
        <w:tc>
          <w:tcPr>
            <w:tcW w:w="18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19,907</w:t>
            </w:r>
          </w:p>
        </w:tc>
      </w:tr>
      <w:tr>
        <w:trPr>
          <w:trHeight w:val="183"/>
        </w:trPr>
        <w:tc>
          <w:tcPr>
            <w:tcW w:w="47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WILLIAM R. SPERRY</w:t>
            </w:r>
          </w:p>
        </w:tc>
        <w:tc>
          <w:tcPr>
            <w:tcW w:w="4660" w:type="dxa"/>
            <w:vAlign w:val="bottom"/>
            <w:tcBorders>
              <w:bottom w:val="single" w:sz="8" w:color="BCBEC0"/>
            </w:tcBorders>
          </w:tcPr>
          <w:p>
            <w:pPr>
              <w:jc w:val="right"/>
              <w:ind w:right="339"/>
              <w:spacing w:after="0" w:line="183" w:lineRule="exact"/>
              <w:rPr>
                <w:sz w:val="20"/>
                <w:szCs w:val="20"/>
                <w:color w:val="auto"/>
              </w:rPr>
            </w:pPr>
            <w:r>
              <w:rPr>
                <w:rFonts w:ascii="Arial" w:cs="Arial" w:eastAsia="Arial" w:hAnsi="Arial"/>
                <w:sz w:val="16"/>
                <w:szCs w:val="16"/>
                <w:color w:val="auto"/>
              </w:rPr>
              <w:t>4,043</w:t>
            </w:r>
          </w:p>
        </w:tc>
        <w:tc>
          <w:tcPr>
            <w:tcW w:w="1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6,956</w:t>
            </w:r>
          </w:p>
        </w:tc>
      </w:tr>
      <w:tr>
        <w:trPr>
          <w:trHeight w:val="183"/>
        </w:trPr>
        <w:tc>
          <w:tcPr>
            <w:tcW w:w="47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4660" w:type="dxa"/>
            <w:vAlign w:val="bottom"/>
            <w:tcBorders>
              <w:bottom w:val="single" w:sz="8" w:color="BCBEC0"/>
            </w:tcBorders>
          </w:tcPr>
          <w:p>
            <w:pPr>
              <w:jc w:val="right"/>
              <w:ind w:right="339"/>
              <w:spacing w:after="0" w:line="183" w:lineRule="exact"/>
              <w:rPr>
                <w:sz w:val="20"/>
                <w:szCs w:val="20"/>
                <w:color w:val="auto"/>
              </w:rPr>
            </w:pPr>
            <w:r>
              <w:rPr>
                <w:rFonts w:ascii="Arial" w:cs="Arial" w:eastAsia="Arial" w:hAnsi="Arial"/>
                <w:sz w:val="16"/>
                <w:szCs w:val="16"/>
                <w:color w:val="auto"/>
              </w:rPr>
              <w:t>829</w:t>
            </w:r>
          </w:p>
        </w:tc>
        <w:tc>
          <w:tcPr>
            <w:tcW w:w="1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1,426</w:t>
            </w:r>
          </w:p>
        </w:tc>
      </w:tr>
      <w:tr>
        <w:trPr>
          <w:trHeight w:val="183"/>
        </w:trPr>
        <w:tc>
          <w:tcPr>
            <w:tcW w:w="47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GREGORY A. GUMBS</w:t>
            </w:r>
          </w:p>
        </w:tc>
        <w:tc>
          <w:tcPr>
            <w:tcW w:w="4660" w:type="dxa"/>
            <w:vAlign w:val="bottom"/>
            <w:tcBorders>
              <w:bottom w:val="single" w:sz="8" w:color="BCBEC0"/>
            </w:tcBorders>
          </w:tcPr>
          <w:p>
            <w:pPr>
              <w:jc w:val="right"/>
              <w:ind w:right="339"/>
              <w:spacing w:after="0" w:line="183"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47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KATHERINE A. LANE</w:t>
            </w:r>
          </w:p>
        </w:tc>
        <w:tc>
          <w:tcPr>
            <w:tcW w:w="4660" w:type="dxa"/>
            <w:vAlign w:val="bottom"/>
            <w:tcBorders>
              <w:bottom w:val="single" w:sz="8" w:color="BCBEC0"/>
            </w:tcBorders>
          </w:tcPr>
          <w:p>
            <w:pPr>
              <w:jc w:val="right"/>
              <w:ind w:right="339"/>
              <w:spacing w:after="0" w:line="183" w:lineRule="exact"/>
              <w:rPr>
                <w:sz w:val="20"/>
                <w:szCs w:val="20"/>
                <w:color w:val="auto"/>
              </w:rPr>
            </w:pPr>
            <w:r>
              <w:rPr>
                <w:rFonts w:ascii="Arial" w:cs="Arial" w:eastAsia="Arial" w:hAnsi="Arial"/>
                <w:sz w:val="16"/>
                <w:szCs w:val="16"/>
                <w:color w:val="auto"/>
              </w:rPr>
              <w:t>1,970</w:t>
            </w:r>
          </w:p>
        </w:tc>
        <w:tc>
          <w:tcPr>
            <w:tcW w:w="1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3,389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Appreciation Rights (“SARs”)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 vested SAR gives the holder the right to receive the value (in shares of Hubbell’s common stock) equal to the positive difference between the base price of the SAR and the market value of a share of our common stock when the SAR is exercised. SARs vest in three equal installments on each of the first three anniversaries of the grant date. The base price of a SAR is the mean between the high and low trading prices of Hubbell’s common stock as reported on the NYSE on the trading day immediately preceding the date of grant (i.e., for the February 18, 2025, grants, the February 14, 2025, price of $393.16). The Company calculates the value of a vested SAR this way for two reasons. First, using the trading price from the day before the grant enables the Compensation Committee to know the exact grant price and therefore the exact value of each grant before it is made. Second, because of the relatively low volume at which Hubbell’s stock trades, the mean represents a more accurate picture of the fair market value of the stock than does the closing price. For purposes of determining individual award levels, the number of shares subject to each SAR is formulated on the basis of a modified Black-Scholes calculation. See the section entitled “Equity Award Plan Vesting Provisions-Grant Terms” on page 60 for additional information on the terms of SAR awards.</w:t>
      </w:r>
    </w:p>
    <w:p>
      <w:pPr>
        <w:spacing w:after="0" w:line="15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52</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3" w:name="page54"/>
    <w:bookmarkEnd w:id="5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Time</w:t>
      </w:r>
      <w:r>
        <w:rPr>
          <w:rFonts w:ascii="Arial" w:cs="Arial" w:eastAsia="Arial" w:hAnsi="Arial"/>
          <w:sz w:val="22"/>
          <w:szCs w:val="22"/>
          <w:color w:val="auto"/>
        </w:rPr>
        <w:t>-</w:t>
      </w:r>
      <w:r>
        <w:rPr>
          <w:rFonts w:ascii="Arial" w:cs="Arial" w:eastAsia="Arial" w:hAnsi="Arial"/>
          <w:sz w:val="22"/>
          <w:szCs w:val="22"/>
          <w:b w:val="1"/>
          <w:bCs w:val="1"/>
          <w:color w:val="auto"/>
        </w:rPr>
        <w:t>Based Restricted Stock</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Time-based restricted stock incentivizes executives to remain with the Company and to create and maintain value for shareholders. Restricted shares do not vest unless the executive is employed with the Company on the vesting date, with the value of restricted shares depending on the price of Hubbell’s stock on such date. Restricted stock awards are granted in shares of Hubbell common stock and generally vest on the three-year anniversary of the grant date.</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Compensation Policies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Stock Ownership and Retention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3517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351790"/>
                    </a:xfrm>
                    <a:prstGeom prst="rect">
                      <a:avLst/>
                    </a:prstGeom>
                    <a:noFill/>
                  </pic:spPr>
                </pic:pic>
              </a:graphicData>
            </a:graphic>
          </wp:anchor>
        </w:drawing>
      </w:r>
    </w:p>
    <w:p>
      <w:pPr>
        <w:spacing w:after="0" w:line="389"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Each NEO currently satisfies Hubbell’s stock ownership policy requirements.</w:t>
      </w:r>
    </w:p>
    <w:p>
      <w:pPr>
        <w:spacing w:after="0" w:line="35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Hubbell’s Stock Ownership and Retention Policy (the “Stock Ownership Policy”) is applicable to the NEOs, other officers of the Company, senior level employees, and non-employee Directors. The terms and conditions of the Stock Ownership Policy are annually reviewed by the Compensation Committee and Exequity to ensure consistency with current market practices and external benchmarks and alignment between the interests of the covered employees and the interests of the Company’s shareholders.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Stock Ownership Policy requires covered employees to attain a minimum share ownership level equal to their base salary times a certain multiplier, as indicated in the below table.</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MINIMUM STOCK OWNERSHIP REQUIREMENT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132080</wp:posOffset>
            </wp:positionV>
            <wp:extent cx="6532245" cy="60896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532245"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The Stock Ownership Policy provides:</w:t>
      </w:r>
    </w:p>
    <w:p>
      <w:pPr>
        <w:spacing w:after="0" w:line="194" w:lineRule="exact"/>
        <w:rPr>
          <w:sz w:val="20"/>
          <w:szCs w:val="20"/>
          <w:color w:val="auto"/>
        </w:rPr>
      </w:pPr>
    </w:p>
    <w:p>
      <w:pPr>
        <w:ind w:left="180" w:right="20" w:hanging="172"/>
        <w:spacing w:after="0" w:line="256" w:lineRule="auto"/>
        <w:tabs>
          <w:tab w:leader="none" w:pos="180" w:val="left"/>
        </w:tabs>
        <w:numPr>
          <w:ilvl w:val="0"/>
          <w:numId w:val="66"/>
        </w:numPr>
        <w:rPr>
          <w:rFonts w:ascii="Arial" w:cs="Arial" w:eastAsia="Arial" w:hAnsi="Arial"/>
          <w:sz w:val="16"/>
          <w:szCs w:val="16"/>
          <w:color w:val="2F8B9E"/>
        </w:rPr>
      </w:pPr>
      <w:r>
        <w:rPr>
          <w:rFonts w:ascii="Arial" w:cs="Arial" w:eastAsia="Arial" w:hAnsi="Arial"/>
          <w:sz w:val="16"/>
          <w:szCs w:val="16"/>
          <w:color w:val="auto"/>
        </w:rPr>
        <w:t>A covered employee who has not yet satisfied the applicable ownership minimum requirement must retain 100% of the net shares acquired pursuant to the exercise of a SAR and all other shares that person directly or indirectly acquires.</w:t>
      </w:r>
    </w:p>
    <w:p>
      <w:pPr>
        <w:spacing w:after="0" w:line="1" w:lineRule="exact"/>
        <w:rPr>
          <w:rFonts w:ascii="Arial" w:cs="Arial" w:eastAsia="Arial" w:hAnsi="Arial"/>
          <w:sz w:val="16"/>
          <w:szCs w:val="16"/>
          <w:color w:val="2F8B9E"/>
        </w:rPr>
      </w:pPr>
    </w:p>
    <w:p>
      <w:pPr>
        <w:ind w:left="180" w:right="20" w:hanging="172"/>
        <w:spacing w:after="0" w:line="246" w:lineRule="auto"/>
        <w:tabs>
          <w:tab w:leader="none" w:pos="180" w:val="left"/>
        </w:tabs>
        <w:numPr>
          <w:ilvl w:val="0"/>
          <w:numId w:val="66"/>
        </w:numPr>
        <w:rPr>
          <w:rFonts w:ascii="Arial" w:cs="Arial" w:eastAsia="Arial" w:hAnsi="Arial"/>
          <w:sz w:val="16"/>
          <w:szCs w:val="16"/>
          <w:color w:val="2F8B9E"/>
        </w:rPr>
      </w:pPr>
      <w:r>
        <w:rPr>
          <w:rFonts w:ascii="Arial" w:cs="Arial" w:eastAsia="Arial" w:hAnsi="Arial"/>
          <w:sz w:val="16"/>
          <w:szCs w:val="16"/>
          <w:color w:val="auto"/>
        </w:rPr>
        <w:t>Once the minimum share ownership level is satisfied, covered employees are expected to continue to satisfy the requirement for as long as they are subject to the Policy.</w:t>
      </w:r>
    </w:p>
    <w:p>
      <w:pPr>
        <w:jc w:val="both"/>
        <w:ind w:left="180" w:hanging="172"/>
        <w:spacing w:after="0" w:line="246" w:lineRule="auto"/>
        <w:tabs>
          <w:tab w:leader="none" w:pos="180" w:val="left"/>
        </w:tabs>
        <w:numPr>
          <w:ilvl w:val="0"/>
          <w:numId w:val="66"/>
        </w:numPr>
        <w:rPr>
          <w:rFonts w:ascii="Arial" w:cs="Arial" w:eastAsia="Arial" w:hAnsi="Arial"/>
          <w:sz w:val="16"/>
          <w:szCs w:val="16"/>
          <w:color w:val="2F8B9E"/>
        </w:rPr>
      </w:pPr>
      <w:r>
        <w:rPr>
          <w:rFonts w:ascii="Arial" w:cs="Arial" w:eastAsia="Arial" w:hAnsi="Arial"/>
          <w:sz w:val="16"/>
          <w:szCs w:val="16"/>
          <w:color w:val="auto"/>
        </w:rPr>
        <w:t>Shares that count toward the minimum share ownership requirement include shares held directly and indirectly by the covered employee, including restricted stock granted under the Equity Plan, and in-the-money vested (but unexercised) SARs. Shares underlying unearned performance shares are not counted.</w:t>
      </w:r>
    </w:p>
    <w:p>
      <w:pPr>
        <w:spacing w:after="0" w:line="1" w:lineRule="exact"/>
        <w:rPr>
          <w:rFonts w:ascii="Arial" w:cs="Arial" w:eastAsia="Arial" w:hAnsi="Arial"/>
          <w:sz w:val="16"/>
          <w:szCs w:val="16"/>
          <w:color w:val="2F8B9E"/>
        </w:rPr>
      </w:pPr>
    </w:p>
    <w:p>
      <w:pPr>
        <w:jc w:val="both"/>
        <w:ind w:left="180" w:hanging="172"/>
        <w:spacing w:after="0" w:line="256" w:lineRule="auto"/>
        <w:tabs>
          <w:tab w:leader="none" w:pos="180" w:val="left"/>
        </w:tabs>
        <w:numPr>
          <w:ilvl w:val="0"/>
          <w:numId w:val="66"/>
        </w:numPr>
        <w:rPr>
          <w:rFonts w:ascii="Arial" w:cs="Arial" w:eastAsia="Arial" w:hAnsi="Arial"/>
          <w:sz w:val="16"/>
          <w:szCs w:val="16"/>
          <w:color w:val="2F8B9E"/>
        </w:rPr>
      </w:pPr>
      <w:r>
        <w:rPr>
          <w:rFonts w:ascii="Arial" w:cs="Arial" w:eastAsia="Arial" w:hAnsi="Arial"/>
          <w:sz w:val="16"/>
          <w:szCs w:val="16"/>
          <w:color w:val="auto"/>
        </w:rPr>
        <w:t>Covered employees have approximately five years from the earliest date they become subject to the Stock Ownership Policy to achieve their minimum ownership requirement. Covered employees who are promoted to positions with a higher minimum ownership requirement similarly have five years to increase their holdings to satisfy the new requirement.</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As of December 31, 2025, all NEOs were in compliance with the Stock Ownership Policy. The Stock Ownership Policy can be viewed on the Company’s website at </w:t>
      </w:r>
      <w:r>
        <w:rPr>
          <w:rFonts w:ascii="Arial" w:cs="Arial" w:eastAsia="Arial" w:hAnsi="Arial"/>
          <w:sz w:val="16"/>
          <w:szCs w:val="16"/>
          <w:b w:val="1"/>
          <w:bCs w:val="1"/>
          <w:color w:val="auto"/>
        </w:rPr>
        <w:t>www.hubbell.com</w:t>
      </w:r>
      <w:r>
        <w:rPr>
          <w:rFonts w:ascii="Arial" w:cs="Arial" w:eastAsia="Arial" w:hAnsi="Arial"/>
          <w:sz w:val="16"/>
          <w:szCs w:val="16"/>
          <w:color w:val="auto"/>
        </w:rPr>
        <w:t>. The reference to our website address does not constitute incorporation by reference of the information contained on the website, and such information is not a part of this Proxy Statement.</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4" w:name="page55"/>
    <w:bookmarkEnd w:id="5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Compensation Recovery Policy (Clawback)</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Our Compensation Recovery Policy addresses situations in which Hubbell is required to prepare an accounting restatement of its financial statements due to Hubbell’s material noncompliance with any financial reporting requirement under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Under the Compensation Recovery Policy, the Compensation Committee will promptly attempt to recover any erroneously awarded incentive-based compensation received by any covered executive officer (including the NEOs) during the three completed fiscal years immediately preceding the date on which Hubbell is required to prepare such an accounting restatement. Covered executive officers include both current and former executive officers. Incentive-based compensation includes any compensation that is granted, earned or vested based wholly or in part on the attainment of a financial reporting measure such as a stock price goal or total shareholder return. The amount required to be recovered in the event of an accounting restatement will equal the amount of incentive-based compensation received by the covered executive officer that exceeds the amount of such compensation that otherwise would have been received had it been determined based on the restated amounts, computed without regard to any taxes paid. The Compensation Recovery Policy complies with NYSE listing standards.</w:t>
      </w:r>
    </w:p>
    <w:p>
      <w:pPr>
        <w:spacing w:after="0" w:line="160"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All actions taken under this policy will be determined by the Board of Directors in its sole discretion upon consultation with the Audit Committee and the Compensation Committee.</w:t>
      </w:r>
    </w:p>
    <w:p>
      <w:pPr>
        <w:spacing w:after="0" w:line="174" w:lineRule="exact"/>
        <w:rPr>
          <w:sz w:val="20"/>
          <w:szCs w:val="20"/>
          <w:color w:val="auto"/>
        </w:rPr>
      </w:pPr>
    </w:p>
    <w:p>
      <w:pPr>
        <w:spacing w:after="0"/>
        <w:rPr>
          <w:sz w:val="20"/>
          <w:szCs w:val="20"/>
          <w:color w:val="auto"/>
        </w:rPr>
      </w:pPr>
      <w:r>
        <w:rPr>
          <w:rFonts w:ascii="Arial" w:cs="Arial" w:eastAsia="Arial" w:hAnsi="Arial"/>
          <w:sz w:val="25"/>
          <w:szCs w:val="25"/>
          <w:color w:val="auto"/>
        </w:rPr>
        <w:t>Policy Prohibiting Hedging and Pledging</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officers, Directors, and certain employees designated by Hubbell’s Executive Vice President, General Counsel and Secretary who may have access to material, non-public information about Hubbell and its financial condition, as well as anyone sharing a household with a restricted person and any entities directly or indirectly controlled by a restricted person, are prohibited from (i) engaging in hedging, monetization transactions, or similar arrangements involving our stock, including short sales, margin transactions, put or call options, and derivatives such as swaps, forwards, and futures transactions; (ii) pledging our stock as collateral for a loan, credit, stop loss, or any other limit orders placed with a broker, except pursuant to an approved 10b5-1 plan; and (iii) purchasing Hubbell stock on margin or holding it in a margin account.</w:t>
      </w:r>
    </w:p>
    <w:p>
      <w:pPr>
        <w:spacing w:after="0" w:line="25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Employee Benefit Programs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NEOs receive health and welfare and retirement benefits that are generally available to all employees, which include cafeteria-style plans that provide medical, dental, prescription, life, and disability insurance and the option to purchase other voluntary benefits. The NEOs also receive certain additional retirement benefits, limited perquisites (as detailed on page 55), severance, and change in control protections. These additional benefits are similar to the types and amounts available to senior executives of other manufacturing companies as demonstrated in benchmark data. The following outlines the benefit plans available to the NEOs. These plans provide retirement planning tools that help the Company attract and retain senior management.</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color w:val="auto"/>
        </w:rPr>
        <w:t>Retirement Plans and Nonqualified Deferred Compensation Plans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Qualified Pension Plans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maintains a defined benefit pension plan (the “DB Plan”) and a defined contribution retirement plan (the “DC Plan”) in which NEOs participate, along with other Hubbell employees.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Employees hired after December 31, 2003, are not eligible to participate in the DB Plan but may participate in the DC Plan. The Company closed the DB Plan to new employees after 2003 after determining that a plan of this nature was no longer necessary to attract talent. Service credit under the DB Plan ceased effective February 28, 2017, and a subsequent freeze on eligible compensation became effective December 31, 2020. Messrs. Bakker and Mikes are the only NEOs who are participants in the DB Plan.</w:t>
      </w:r>
    </w:p>
    <w:p>
      <w:pPr>
        <w:spacing w:after="0" w:line="15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54</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DC Plan provides that the Company will make a fully vested annual non-elective Company contribution of 4% of eligible earnings on behalf of all eligible participants, including the NEOs. Additionally, the Company makes a matching contribution equal to 50% of the first 6% of a participant’s eligible earnings contributed to the DC Plan, subject to limitations in the Internal Revenue Code. NEOs participate in the DC Plan on the same terms as other employees in the Company.</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w:t>
      </w:r>
      <w:r>
        <w:rPr>
          <w:rFonts w:ascii="Arial" w:cs="Arial" w:eastAsia="Arial" w:hAnsi="Arial"/>
          <w:sz w:val="22"/>
          <w:szCs w:val="22"/>
          <w:color w:val="auto"/>
        </w:rPr>
        <w:t>-</w:t>
      </w:r>
      <w:r>
        <w:rPr>
          <w:rFonts w:ascii="Arial" w:cs="Arial" w:eastAsia="Arial" w:hAnsi="Arial"/>
          <w:sz w:val="22"/>
          <w:szCs w:val="22"/>
          <w:b w:val="1"/>
          <w:bCs w:val="1"/>
          <w:color w:val="auto"/>
        </w:rPr>
        <w:t>Qualified Supplemental Retirement Plans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Certain senior executives of the Company, including the NEOs, are eligible to participate in supplemental retirement plans. Hubbell’s Top Hat Restoration Plan (“DB Restoration Plan”) and Defined Contribution Restoration Plan (“DC Restoration Plan”) are available to DB Plan participants and DC Plan participants, respectively, who earn compensation in excess of Internal Revenue Code limitations applicable to qualified plans.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DB Restoration Plan is an “excess benefit plan” under which participants in the DB Plan receive additional retirement benefits, calculated in the same manner as benefits are calculated under the DB Plan, but without regard to the applicable limits on compensation or benefit accruals imposed by the tax-qualified plan rules. Messrs. Bakker and Mikes are the only NEOs who are participants in the DB Restoration Plan, and they ceased to accrue benefits under the DB Restoration Plan when the DB Plan was frozen. The DC Restoration Plan, also an “excess benefit plan,” enables participants in the DC Plan to receive Company contributions equal to the additional contributions they would have received under the DC Plan, but for the compensation limits imposed by the tax-qualified plan rules.</w:t>
      </w:r>
    </w:p>
    <w:p>
      <w:pPr>
        <w:spacing w:after="0" w:line="15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DB Restoration Plan and DC Restoration Plan are intended to promote the retention of our eligible senior management employees by providing them with the opportunity to earn pension and retirement benefits that supplement the benefits available under the Company’s tax-qualified retirement plans.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Deferred Compensation Plan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has a non-qualified Executive Deferred Compensation Plan (“EDCP”) that permits senior employees, including our NEOs, to defer the receipt of up to 50% of their base salary and 100% of their short-term incentive award. The EDCP also provides for discretionary contributions by the Company. No Company discretionary contributions were made in 2025. Amounts deferred under the EDCP are credited with earnings reflecting individual investment directions made by each participant. See the “Non-Qualified Deferred Compensation in Fiscal Year 2025” section on page 65.</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color w:val="auto"/>
        </w:rPr>
        <w:t>Perquisites</w:t>
      </w: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2025, the Company provided three types of perquisites to the NEOs: limited financial planning and tax preparation services and limited personal travel on the Company aircraft. These perquisites help protect the executives’ financial health, provide flexibility to the executives, and increase travel efficiencies, thereby allowing executives to use their time more productively. The Company routinely examines the competitiveness of the perquisites offered in light of the evolving competitive landscape and determines whether any modifications are appropriate. Footnote 6 to the “Summary Compensation Table” on pages 57 and 58 outlines the benefits received by each NEO in 2025.</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color w:val="auto"/>
        </w:rPr>
        <w:t>Severance and Change in Control Benefits</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Hubbell maintains a Policy for Providing Severance to Senior Employees (the “Senior Severance Policy”) that generally provides severance to senior management in the event of certain “involuntary” terminations of employment with Hubbell.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It has long been Hubbell’s practice to provide Change in Control Severance Agreements (“CIC Agreements”) to Board-appointed officers.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CIC Agreements with the NEOs provide certain alternative severance benefits in the event an NEO’s employment is involuntarily or constructively terminated in connection with a change in control. Such severance benefits are designed to alleviate the financial impact of termination of employment by providing continued base salary and health benefits and outplacement services. These benefits enable our executives to evaluate potential transactions without the personal distraction or conflict of interest that could arise from concerns about a potential change in control.</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decision to offer benefits under the Senior Severance Policy and the CIC Agreements does not influence the Compensation Committee’s determinations concerning other direct compensation or benefit levels. In making the decision to extend these benefits, the Compensation Committee relied on its independent compensation consultant, Exequity, to ensure that such severance and change in control benefits align with relevant market practice and industry benchmarking. The Compensation Committee periodically reviews Hubbell’s CIC Agreements and benchmarks the provisions with Exequity.</w:t>
      </w:r>
    </w:p>
    <w:p>
      <w:pPr>
        <w:spacing w:after="0" w:line="151"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6" w:name="page57"/>
    <w:bookmarkEnd w:id="5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CIC Agreements contain, among other things, the following types and amounts of compensation benefits payable to NEOs upon a change in control:</w:t>
      </w:r>
    </w:p>
    <w:p>
      <w:pPr>
        <w:spacing w:after="0" w:line="129"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6"/>
          <w:szCs w:val="16"/>
          <w:color w:val="2F8B9E"/>
        </w:rPr>
      </w:pPr>
      <w:r>
        <w:rPr>
          <w:rFonts w:ascii="Arial" w:cs="Arial" w:eastAsia="Arial" w:hAnsi="Arial"/>
          <w:sz w:val="16"/>
          <w:szCs w:val="16"/>
          <w:color w:val="auto"/>
        </w:rPr>
        <w:t>Double trigger (change in control plus termination of employment) required to obtain cash severance benefit.</w:t>
      </w:r>
    </w:p>
    <w:p>
      <w:pPr>
        <w:spacing w:after="0" w:line="21" w:lineRule="exact"/>
        <w:rPr>
          <w:rFonts w:ascii="Arial" w:cs="Arial" w:eastAsia="Arial" w:hAnsi="Arial"/>
          <w:sz w:val="16"/>
          <w:szCs w:val="16"/>
          <w:color w:val="2F8B9E"/>
        </w:rPr>
      </w:pPr>
    </w:p>
    <w:p>
      <w:pPr>
        <w:jc w:val="both"/>
        <w:ind w:left="180" w:right="20" w:hanging="172"/>
        <w:spacing w:after="0" w:line="246" w:lineRule="auto"/>
        <w:tabs>
          <w:tab w:leader="none" w:pos="180" w:val="left"/>
        </w:tabs>
        <w:numPr>
          <w:ilvl w:val="0"/>
          <w:numId w:val="67"/>
        </w:numPr>
        <w:rPr>
          <w:rFonts w:ascii="Arial" w:cs="Arial" w:eastAsia="Arial" w:hAnsi="Arial"/>
          <w:sz w:val="16"/>
          <w:szCs w:val="16"/>
          <w:color w:val="2F8B9E"/>
        </w:rPr>
      </w:pPr>
      <w:r>
        <w:rPr>
          <w:rFonts w:ascii="Arial" w:cs="Arial" w:eastAsia="Arial" w:hAnsi="Arial"/>
          <w:sz w:val="16"/>
          <w:szCs w:val="16"/>
          <w:color w:val="auto"/>
        </w:rPr>
        <w:t>Lump sum cash payments equal to 2.5 times base salary and 2.5 times target bonus for the year in which the change-in-control occurs for Messrs. Bakker and Sperry and 2.0 times base salary and 2.0 times target bonus for the year in which the change-in-control occurs for Messrs. Mikes and Gumbs, and Ms. Lane.</w:t>
      </w:r>
    </w:p>
    <w:p>
      <w:pPr>
        <w:spacing w:after="0" w:line="1" w:lineRule="exact"/>
        <w:rPr>
          <w:rFonts w:ascii="Arial" w:cs="Arial" w:eastAsia="Arial" w:hAnsi="Arial"/>
          <w:sz w:val="16"/>
          <w:szCs w:val="16"/>
          <w:color w:val="2F8B9E"/>
        </w:rPr>
      </w:pPr>
    </w:p>
    <w:p>
      <w:pPr>
        <w:ind w:left="180" w:hanging="172"/>
        <w:spacing w:after="0"/>
        <w:tabs>
          <w:tab w:leader="none" w:pos="180" w:val="left"/>
        </w:tabs>
        <w:numPr>
          <w:ilvl w:val="0"/>
          <w:numId w:val="67"/>
        </w:numPr>
        <w:rPr>
          <w:rFonts w:ascii="Arial" w:cs="Arial" w:eastAsia="Arial" w:hAnsi="Arial"/>
          <w:sz w:val="16"/>
          <w:szCs w:val="16"/>
          <w:color w:val="2F8B9E"/>
        </w:rPr>
      </w:pPr>
      <w:r>
        <w:rPr>
          <w:rFonts w:ascii="Arial" w:cs="Arial" w:eastAsia="Arial" w:hAnsi="Arial"/>
          <w:sz w:val="16"/>
          <w:szCs w:val="16"/>
          <w:color w:val="auto"/>
        </w:rPr>
        <w:t>Lump sum payment of the pro-rated target bonus for the year in which termination occurs.</w:t>
      </w:r>
    </w:p>
    <w:p>
      <w:pPr>
        <w:spacing w:after="0" w:line="5" w:lineRule="exact"/>
        <w:rPr>
          <w:rFonts w:ascii="Arial" w:cs="Arial" w:eastAsia="Arial" w:hAnsi="Arial"/>
          <w:sz w:val="16"/>
          <w:szCs w:val="16"/>
          <w:color w:val="2F8B9E"/>
        </w:rPr>
      </w:pPr>
    </w:p>
    <w:p>
      <w:pPr>
        <w:ind w:left="180" w:hanging="172"/>
        <w:spacing w:after="0"/>
        <w:tabs>
          <w:tab w:leader="none" w:pos="180" w:val="left"/>
        </w:tabs>
        <w:numPr>
          <w:ilvl w:val="0"/>
          <w:numId w:val="67"/>
        </w:numPr>
        <w:rPr>
          <w:rFonts w:ascii="Arial" w:cs="Arial" w:eastAsia="Arial" w:hAnsi="Arial"/>
          <w:sz w:val="16"/>
          <w:szCs w:val="16"/>
          <w:color w:val="2F8B9E"/>
        </w:rPr>
      </w:pPr>
      <w:r>
        <w:rPr>
          <w:rFonts w:ascii="Arial" w:cs="Arial" w:eastAsia="Arial" w:hAnsi="Arial"/>
          <w:sz w:val="16"/>
          <w:szCs w:val="16"/>
          <w:color w:val="auto"/>
        </w:rPr>
        <w:t>Continued insurance benefits and outplacement services.</w:t>
      </w:r>
    </w:p>
    <w:p>
      <w:pPr>
        <w:spacing w:after="0" w:line="17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Upon a change in control, under the terms of the LTI awards, all outstanding awards (other than any portion subject to performance-based vesting) will continue in effect or be assumed or substituted by an acquiring company, unless the Compensation Committee elects to terminate an award or cause it to fully vest. If the acquiring company refuses to assume or substitute an award, the Compensation Committee may exercise its discretion to terminate the award in exchange for cash, rights, or property, or cause the awards to become fully exercisable prior to the change in control. The portion of an LTI award that is subject to performance-based vesting will remain subject to the terms of the award agreement and the Compensation Committee’s discretion.</w:t>
      </w:r>
    </w:p>
    <w:p>
      <w:pPr>
        <w:spacing w:after="0" w:line="15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If an LTI award continues in effect or is assumed or substituted, and the grantee’s employment is terminated without cause or within twelve months following a change in control, then the award will fully vest as of the date of termination.</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 additional information relating to the Company’s change in control and severance benefits, including under the CIC Agreements and the Senior Severance Policy, see the “Potential Post-Employment Compensation Arrangements” section on pages 66-70.</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Compensation Committee Report</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Compensation Committee has reviewed the Compensation Discussion and Analysis and discussed its contents with members of the Company’s management and its independent compensation consultant, Exequity. Based on this review and discussion, the Compensation Committee has recommended to the Board that the Compensation Discussion and Analysis be included in this Proxy Statement and the Company’s Annual Report on Form 10-K for the fiscal year ended December 31, 2025.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Carlos M. Cardoso,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Edward H. Baine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Anthony J. Guzzi</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Neal J. Keating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Jennifer M. Pollino</w:t>
      </w:r>
    </w:p>
    <w:p>
      <w:pPr>
        <w:spacing w:after="0" w:line="178"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56</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58"/>
          <w:szCs w:val="58"/>
          <w:color w:val="auto"/>
        </w:rPr>
        <w:t xml:space="preserve">Executive </w:t>
      </w:r>
      <w:r>
        <w:rPr>
          <w:rFonts w:ascii="Arial" w:cs="Arial" w:eastAsia="Arial" w:hAnsi="Arial"/>
          <w:sz w:val="58"/>
          <w:szCs w:val="58"/>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43180" cy="42037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3180" cy="42037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Summary Compensation Table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80" w:type="dxa"/>
            <w:vAlign w:val="bottom"/>
            <w:tcBorders>
              <w:top w:val="single" w:sz="8" w:color="FFE933"/>
            </w:tcBorders>
            <w:shd w:val="clear" w:color="auto" w:fill="F1F2F2"/>
          </w:tcPr>
          <w:p>
            <w:pPr>
              <w:spacing w:after="0"/>
              <w:rPr>
                <w:sz w:val="24"/>
                <w:szCs w:val="24"/>
                <w:color w:val="auto"/>
              </w:rPr>
            </w:pPr>
          </w:p>
        </w:tc>
        <w:tc>
          <w:tcPr>
            <w:tcW w:w="540" w:type="dxa"/>
            <w:vAlign w:val="bottom"/>
            <w:tcBorders>
              <w:top w:val="single" w:sz="8" w:color="FFE933"/>
            </w:tcBorders>
            <w:shd w:val="clear" w:color="auto" w:fill="F1F2F2"/>
          </w:tcPr>
          <w:p>
            <w:pPr>
              <w:spacing w:after="0"/>
              <w:rPr>
                <w:sz w:val="24"/>
                <w:szCs w:val="24"/>
                <w:color w:val="auto"/>
              </w:rPr>
            </w:pPr>
          </w:p>
        </w:tc>
        <w:tc>
          <w:tcPr>
            <w:tcW w:w="860" w:type="dxa"/>
            <w:vAlign w:val="bottom"/>
            <w:tcBorders>
              <w:top w:val="single" w:sz="8" w:color="FFE933"/>
            </w:tcBorders>
            <w:shd w:val="clear" w:color="auto" w:fill="F1F2F2"/>
          </w:tcPr>
          <w:p>
            <w:pPr>
              <w:spacing w:after="0"/>
              <w:rPr>
                <w:sz w:val="24"/>
                <w:szCs w:val="24"/>
                <w:color w:val="auto"/>
              </w:rPr>
            </w:pPr>
          </w:p>
        </w:tc>
        <w:tc>
          <w:tcPr>
            <w:tcW w:w="840" w:type="dxa"/>
            <w:vAlign w:val="bottom"/>
            <w:tcBorders>
              <w:top w:val="single" w:sz="8" w:color="FFE933"/>
            </w:tcBorders>
            <w:shd w:val="clear" w:color="auto" w:fill="F1F2F2"/>
          </w:tcPr>
          <w:p>
            <w:pPr>
              <w:spacing w:after="0"/>
              <w:rPr>
                <w:sz w:val="24"/>
                <w:szCs w:val="24"/>
                <w:color w:val="auto"/>
              </w:rPr>
            </w:pPr>
          </w:p>
        </w:tc>
        <w:tc>
          <w:tcPr>
            <w:tcW w:w="900" w:type="dxa"/>
            <w:vAlign w:val="bottom"/>
            <w:tcBorders>
              <w:top w:val="single" w:sz="8" w:color="FFE933"/>
            </w:tcBorders>
            <w:shd w:val="clear" w:color="auto" w:fill="F1F2F2"/>
          </w:tcPr>
          <w:p>
            <w:pPr>
              <w:spacing w:after="0"/>
              <w:rPr>
                <w:sz w:val="24"/>
                <w:szCs w:val="24"/>
                <w:color w:val="auto"/>
              </w:rPr>
            </w:pPr>
          </w:p>
        </w:tc>
        <w:tc>
          <w:tcPr>
            <w:tcW w:w="900" w:type="dxa"/>
            <w:vAlign w:val="bottom"/>
            <w:tcBorders>
              <w:top w:val="single" w:sz="8" w:color="FFE933"/>
            </w:tcBorders>
            <w:shd w:val="clear" w:color="auto" w:fill="F1F2F2"/>
          </w:tcPr>
          <w:p>
            <w:pPr>
              <w:spacing w:after="0"/>
              <w:rPr>
                <w:sz w:val="24"/>
                <w:szCs w:val="24"/>
                <w:color w:val="auto"/>
              </w:rPr>
            </w:pPr>
          </w:p>
        </w:tc>
        <w:tc>
          <w:tcPr>
            <w:tcW w:w="1440" w:type="dxa"/>
            <w:vAlign w:val="bottom"/>
            <w:tcBorders>
              <w:top w:val="single" w:sz="8" w:color="FFE933"/>
            </w:tcBorders>
            <w:shd w:val="clear" w:color="auto" w:fill="F1F2F2"/>
          </w:tcPr>
          <w:p>
            <w:pPr>
              <w:spacing w:after="0"/>
              <w:rPr>
                <w:sz w:val="24"/>
                <w:szCs w:val="24"/>
                <w:color w:val="auto"/>
              </w:rPr>
            </w:pPr>
          </w:p>
        </w:tc>
        <w:tc>
          <w:tcPr>
            <w:tcW w:w="1280" w:type="dxa"/>
            <w:vAlign w:val="bottom"/>
            <w:tcBorders>
              <w:top w:val="single" w:sz="8" w:color="FFE933"/>
            </w:tcBorders>
            <w:shd w:val="clear" w:color="auto" w:fill="F1F2F2"/>
          </w:tcPr>
          <w:p>
            <w:pPr>
              <w:jc w:val="right"/>
              <w:spacing w:after="0"/>
              <w:rPr>
                <w:sz w:val="20"/>
                <w:szCs w:val="20"/>
                <w:color w:val="auto"/>
              </w:rPr>
            </w:pPr>
            <w:r>
              <w:rPr>
                <w:rFonts w:ascii="Arial" w:cs="Arial" w:eastAsia="Arial" w:hAnsi="Arial"/>
                <w:sz w:val="16"/>
                <w:szCs w:val="16"/>
                <w:b w:val="1"/>
                <w:bCs w:val="1"/>
                <w:color w:val="auto"/>
              </w:rPr>
              <w:t>Change in</w:t>
            </w:r>
          </w:p>
        </w:tc>
        <w:tc>
          <w:tcPr>
            <w:tcW w:w="1460" w:type="dxa"/>
            <w:vAlign w:val="bottom"/>
            <w:tcBorders>
              <w:top w:val="single" w:sz="8" w:color="FFE933"/>
            </w:tcBorders>
            <w:shd w:val="clear" w:color="auto" w:fill="F1F2F2"/>
          </w:tcPr>
          <w:p>
            <w:pPr>
              <w:spacing w:after="0"/>
              <w:rPr>
                <w:sz w:val="24"/>
                <w:szCs w:val="24"/>
                <w:color w:val="auto"/>
              </w:rPr>
            </w:pPr>
          </w:p>
        </w:tc>
        <w:tc>
          <w:tcPr>
            <w:tcW w:w="940" w:type="dxa"/>
            <w:vAlign w:val="bottom"/>
            <w:tcBorders>
              <w:top w:val="single" w:sz="8" w:color="FFE933"/>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F1F2F2"/>
          </w:tcPr>
          <w:p>
            <w:pPr>
              <w:spacing w:after="0"/>
              <w:rPr>
                <w:sz w:val="16"/>
                <w:szCs w:val="16"/>
                <w:color w:val="auto"/>
              </w:rPr>
            </w:pPr>
          </w:p>
        </w:tc>
        <w:tc>
          <w:tcPr>
            <w:tcW w:w="54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440" w:type="dxa"/>
            <w:vAlign w:val="bottom"/>
            <w:shd w:val="clear" w:color="auto" w:fill="F1F2F2"/>
          </w:tcPr>
          <w:p>
            <w:pPr>
              <w:spacing w:after="0"/>
              <w:rPr>
                <w:sz w:val="16"/>
                <w:szCs w:val="16"/>
                <w:color w:val="auto"/>
              </w:rPr>
            </w:pPr>
          </w:p>
        </w:tc>
        <w:tc>
          <w:tcPr>
            <w:tcW w:w="12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Pension</w:t>
            </w:r>
          </w:p>
        </w:tc>
        <w:tc>
          <w:tcPr>
            <w:tcW w:w="146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F1F2F2"/>
          </w:tcPr>
          <w:p>
            <w:pPr>
              <w:spacing w:after="0"/>
              <w:rPr>
                <w:sz w:val="16"/>
                <w:szCs w:val="16"/>
                <w:color w:val="auto"/>
              </w:rPr>
            </w:pPr>
          </w:p>
        </w:tc>
        <w:tc>
          <w:tcPr>
            <w:tcW w:w="54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440" w:type="dxa"/>
            <w:vAlign w:val="bottom"/>
            <w:shd w:val="clear" w:color="auto" w:fill="F1F2F2"/>
          </w:tcPr>
          <w:p>
            <w:pPr>
              <w:spacing w:after="0"/>
              <w:rPr>
                <w:sz w:val="16"/>
                <w:szCs w:val="16"/>
                <w:color w:val="auto"/>
              </w:rPr>
            </w:pPr>
          </w:p>
        </w:tc>
        <w:tc>
          <w:tcPr>
            <w:tcW w:w="12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Value and</w:t>
            </w:r>
          </w:p>
        </w:tc>
        <w:tc>
          <w:tcPr>
            <w:tcW w:w="146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F1F2F2"/>
          </w:tcPr>
          <w:p>
            <w:pPr>
              <w:spacing w:after="0"/>
              <w:rPr>
                <w:sz w:val="16"/>
                <w:szCs w:val="16"/>
                <w:color w:val="auto"/>
              </w:rPr>
            </w:pPr>
          </w:p>
        </w:tc>
        <w:tc>
          <w:tcPr>
            <w:tcW w:w="54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440" w:type="dxa"/>
            <w:vAlign w:val="bottom"/>
            <w:shd w:val="clear" w:color="auto" w:fill="F1F2F2"/>
          </w:tcPr>
          <w:p>
            <w:pPr>
              <w:spacing w:after="0"/>
              <w:rPr>
                <w:sz w:val="16"/>
                <w:szCs w:val="16"/>
                <w:color w:val="auto"/>
              </w:rPr>
            </w:pPr>
          </w:p>
        </w:tc>
        <w:tc>
          <w:tcPr>
            <w:tcW w:w="12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Nonqualified</w:t>
            </w:r>
          </w:p>
        </w:tc>
        <w:tc>
          <w:tcPr>
            <w:tcW w:w="146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F1F2F2"/>
          </w:tcPr>
          <w:p>
            <w:pPr>
              <w:spacing w:after="0"/>
              <w:rPr>
                <w:sz w:val="16"/>
                <w:szCs w:val="16"/>
                <w:color w:val="auto"/>
              </w:rPr>
            </w:pPr>
          </w:p>
        </w:tc>
        <w:tc>
          <w:tcPr>
            <w:tcW w:w="54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440" w:type="dxa"/>
            <w:vAlign w:val="bottom"/>
            <w:shd w:val="clear" w:color="auto" w:fill="F1F2F2"/>
          </w:tcPr>
          <w:p>
            <w:pPr>
              <w:spacing w:after="0"/>
              <w:rPr>
                <w:sz w:val="16"/>
                <w:szCs w:val="16"/>
                <w:color w:val="auto"/>
              </w:rPr>
            </w:pPr>
          </w:p>
        </w:tc>
        <w:tc>
          <w:tcPr>
            <w:tcW w:w="12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Deferred</w:t>
            </w:r>
          </w:p>
        </w:tc>
        <w:tc>
          <w:tcPr>
            <w:tcW w:w="146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80" w:type="dxa"/>
            <w:vAlign w:val="bottom"/>
            <w:shd w:val="clear" w:color="auto" w:fill="F1F2F2"/>
          </w:tcPr>
          <w:p>
            <w:pPr>
              <w:spacing w:after="0"/>
              <w:rPr>
                <w:sz w:val="16"/>
                <w:szCs w:val="16"/>
                <w:color w:val="auto"/>
              </w:rPr>
            </w:pPr>
          </w:p>
        </w:tc>
        <w:tc>
          <w:tcPr>
            <w:tcW w:w="54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4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Non</w:t>
            </w:r>
            <w:r>
              <w:rPr>
                <w:rFonts w:ascii="Arial" w:cs="Arial" w:eastAsia="Arial" w:hAnsi="Arial"/>
                <w:sz w:val="16"/>
                <w:szCs w:val="16"/>
                <w:color w:val="auto"/>
              </w:rPr>
              <w:t>-</w:t>
            </w:r>
            <w:r>
              <w:rPr>
                <w:rFonts w:ascii="Arial" w:cs="Arial" w:eastAsia="Arial" w:hAnsi="Arial"/>
                <w:sz w:val="16"/>
                <w:szCs w:val="16"/>
                <w:b w:val="1"/>
                <w:bCs w:val="1"/>
                <w:color w:val="auto"/>
              </w:rPr>
              <w:t>Equity</w:t>
            </w:r>
          </w:p>
        </w:tc>
        <w:tc>
          <w:tcPr>
            <w:tcW w:w="12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Compensation</w:t>
            </w:r>
          </w:p>
        </w:tc>
        <w:tc>
          <w:tcPr>
            <w:tcW w:w="146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80" w:type="dxa"/>
            <w:vAlign w:val="bottom"/>
            <w:shd w:val="clear" w:color="auto" w:fill="F1F2F2"/>
          </w:tcPr>
          <w:p>
            <w:pPr>
              <w:spacing w:after="0"/>
              <w:rPr>
                <w:sz w:val="16"/>
                <w:szCs w:val="16"/>
                <w:color w:val="auto"/>
              </w:rPr>
            </w:pPr>
          </w:p>
        </w:tc>
        <w:tc>
          <w:tcPr>
            <w:tcW w:w="54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Stock</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Option</w:t>
            </w:r>
          </w:p>
        </w:tc>
        <w:tc>
          <w:tcPr>
            <w:tcW w:w="14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Incentive Plan</w:t>
            </w:r>
          </w:p>
        </w:tc>
        <w:tc>
          <w:tcPr>
            <w:tcW w:w="12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Plan</w:t>
            </w:r>
          </w:p>
        </w:tc>
        <w:tc>
          <w:tcPr>
            <w:tcW w:w="14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All Other</w:t>
            </w:r>
          </w:p>
        </w:tc>
        <w:tc>
          <w:tcPr>
            <w:tcW w:w="940" w:type="dxa"/>
            <w:vAlign w:val="bottom"/>
            <w:shd w:val="clear" w:color="auto" w:fill="F1F2F2"/>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Named Executive</w:t>
            </w:r>
          </w:p>
        </w:tc>
        <w:tc>
          <w:tcPr>
            <w:tcW w:w="540" w:type="dxa"/>
            <w:vAlign w:val="bottom"/>
            <w:shd w:val="clear" w:color="auto" w:fill="F1F2F2"/>
          </w:tcPr>
          <w:p>
            <w:pPr>
              <w:spacing w:after="0"/>
              <w:rPr>
                <w:sz w:val="20"/>
                <w:szCs w:val="20"/>
                <w:color w:val="auto"/>
              </w:rPr>
            </w:pPr>
          </w:p>
        </w:tc>
        <w:tc>
          <w:tcPr>
            <w:tcW w:w="8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Salary</w:t>
            </w:r>
          </w:p>
        </w:tc>
        <w:tc>
          <w:tcPr>
            <w:tcW w:w="840" w:type="dxa"/>
            <w:vAlign w:val="bottom"/>
            <w:shd w:val="clear" w:color="auto" w:fill="F1F2F2"/>
          </w:tcPr>
          <w:p>
            <w:pPr>
              <w:jc w:val="right"/>
              <w:spacing w:after="0" w:line="230" w:lineRule="exact"/>
              <w:rPr>
                <w:sz w:val="20"/>
                <w:szCs w:val="20"/>
                <w:color w:val="auto"/>
              </w:rPr>
            </w:pPr>
            <w:r>
              <w:rPr>
                <w:rFonts w:ascii="Arial" w:cs="Arial" w:eastAsia="Arial" w:hAnsi="Arial"/>
                <w:sz w:val="16"/>
                <w:szCs w:val="16"/>
                <w:b w:val="1"/>
                <w:bCs w:val="1"/>
                <w:color w:val="auto"/>
              </w:rPr>
              <w:t>Bonus</w:t>
            </w:r>
            <w:r>
              <w:rPr>
                <w:rFonts w:ascii="Arial" w:cs="Arial" w:eastAsia="Arial" w:hAnsi="Arial"/>
                <w:sz w:val="26"/>
                <w:szCs w:val="26"/>
                <w:b w:val="1"/>
                <w:bCs w:val="1"/>
                <w:color w:val="auto"/>
                <w:vertAlign w:val="superscript"/>
              </w:rPr>
              <w:t>(2)</w:t>
            </w:r>
          </w:p>
        </w:tc>
        <w:tc>
          <w:tcPr>
            <w:tcW w:w="900" w:type="dxa"/>
            <w:vAlign w:val="bottom"/>
            <w:shd w:val="clear" w:color="auto" w:fill="F1F2F2"/>
          </w:tcPr>
          <w:p>
            <w:pPr>
              <w:jc w:val="right"/>
              <w:spacing w:after="0" w:line="230"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6"/>
                <w:szCs w:val="26"/>
                <w:b w:val="1"/>
                <w:bCs w:val="1"/>
                <w:color w:val="auto"/>
                <w:vertAlign w:val="superscript"/>
              </w:rPr>
              <w:t>(3)</w:t>
            </w:r>
          </w:p>
        </w:tc>
        <w:tc>
          <w:tcPr>
            <w:tcW w:w="900" w:type="dxa"/>
            <w:vAlign w:val="bottom"/>
            <w:shd w:val="clear" w:color="auto" w:fill="F1F2F2"/>
          </w:tcPr>
          <w:p>
            <w:pPr>
              <w:jc w:val="right"/>
              <w:spacing w:after="0" w:line="230" w:lineRule="exact"/>
              <w:rPr>
                <w:sz w:val="20"/>
                <w:szCs w:val="20"/>
                <w:color w:val="auto"/>
              </w:rPr>
            </w:pPr>
            <w:r>
              <w:rPr>
                <w:rFonts w:ascii="Arial" w:cs="Arial" w:eastAsia="Arial" w:hAnsi="Arial"/>
                <w:sz w:val="16"/>
                <w:szCs w:val="16"/>
                <w:b w:val="1"/>
                <w:bCs w:val="1"/>
                <w:color w:val="auto"/>
              </w:rPr>
              <w:t>Awards</w:t>
            </w:r>
            <w:r>
              <w:rPr>
                <w:rFonts w:ascii="Arial" w:cs="Arial" w:eastAsia="Arial" w:hAnsi="Arial"/>
                <w:sz w:val="26"/>
                <w:szCs w:val="26"/>
                <w:b w:val="1"/>
                <w:bCs w:val="1"/>
                <w:color w:val="auto"/>
                <w:vertAlign w:val="superscript"/>
              </w:rPr>
              <w:t>(3)</w:t>
            </w:r>
          </w:p>
        </w:tc>
        <w:tc>
          <w:tcPr>
            <w:tcW w:w="1440" w:type="dxa"/>
            <w:vAlign w:val="bottom"/>
            <w:shd w:val="clear" w:color="auto" w:fill="F1F2F2"/>
          </w:tcPr>
          <w:p>
            <w:pPr>
              <w:jc w:val="right"/>
              <w:spacing w:after="0" w:line="230"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6"/>
                <w:szCs w:val="26"/>
                <w:b w:val="1"/>
                <w:bCs w:val="1"/>
                <w:color w:val="auto"/>
                <w:vertAlign w:val="superscript"/>
              </w:rPr>
              <w:t>(4)</w:t>
            </w:r>
          </w:p>
        </w:tc>
        <w:tc>
          <w:tcPr>
            <w:tcW w:w="1280" w:type="dxa"/>
            <w:vAlign w:val="bottom"/>
            <w:shd w:val="clear" w:color="auto" w:fill="F1F2F2"/>
          </w:tcPr>
          <w:p>
            <w:pPr>
              <w:jc w:val="right"/>
              <w:ind w:right="19"/>
              <w:spacing w:after="0" w:line="230" w:lineRule="exact"/>
              <w:rPr>
                <w:sz w:val="20"/>
                <w:szCs w:val="20"/>
                <w:color w:val="auto"/>
              </w:rPr>
            </w:pPr>
            <w:r>
              <w:rPr>
                <w:rFonts w:ascii="Arial" w:cs="Arial" w:eastAsia="Arial" w:hAnsi="Arial"/>
                <w:sz w:val="16"/>
                <w:szCs w:val="16"/>
                <w:b w:val="1"/>
                <w:bCs w:val="1"/>
                <w:color w:val="auto"/>
              </w:rPr>
              <w:t>Earnings</w:t>
            </w:r>
            <w:r>
              <w:rPr>
                <w:rFonts w:ascii="Arial" w:cs="Arial" w:eastAsia="Arial" w:hAnsi="Arial"/>
                <w:sz w:val="26"/>
                <w:szCs w:val="26"/>
                <w:b w:val="1"/>
                <w:bCs w:val="1"/>
                <w:color w:val="auto"/>
                <w:vertAlign w:val="superscript"/>
              </w:rPr>
              <w:t>(5)</w:t>
            </w:r>
          </w:p>
        </w:tc>
        <w:tc>
          <w:tcPr>
            <w:tcW w:w="1460" w:type="dxa"/>
            <w:vAlign w:val="bottom"/>
            <w:shd w:val="clear" w:color="auto" w:fill="F1F2F2"/>
          </w:tcPr>
          <w:p>
            <w:pPr>
              <w:jc w:val="right"/>
              <w:spacing w:after="0" w:line="230" w:lineRule="exact"/>
              <w:rPr>
                <w:sz w:val="20"/>
                <w:szCs w:val="20"/>
                <w:color w:val="auto"/>
              </w:rPr>
            </w:pPr>
            <w:r>
              <w:rPr>
                <w:rFonts w:ascii="Arial" w:cs="Arial" w:eastAsia="Arial" w:hAnsi="Arial"/>
                <w:sz w:val="16"/>
                <w:szCs w:val="16"/>
                <w:b w:val="1"/>
                <w:bCs w:val="1"/>
                <w:color w:val="auto"/>
              </w:rPr>
              <w:t>Compensation</w:t>
            </w:r>
            <w:r>
              <w:rPr>
                <w:rFonts w:ascii="Arial" w:cs="Arial" w:eastAsia="Arial" w:hAnsi="Arial"/>
                <w:sz w:val="26"/>
                <w:szCs w:val="26"/>
                <w:b w:val="1"/>
                <w:bCs w:val="1"/>
                <w:color w:val="auto"/>
                <w:vertAlign w:val="superscript"/>
              </w:rPr>
              <w:t>(6)</w:t>
            </w:r>
          </w:p>
        </w:tc>
        <w:tc>
          <w:tcPr>
            <w:tcW w:w="9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3"/>
        </w:trPr>
        <w:tc>
          <w:tcPr>
            <w:tcW w:w="208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Officer</w:t>
            </w:r>
          </w:p>
        </w:tc>
        <w:tc>
          <w:tcPr>
            <w:tcW w:w="5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Year</w:t>
            </w:r>
          </w:p>
        </w:tc>
        <w:tc>
          <w:tcPr>
            <w:tcW w:w="8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4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2080" w:type="dxa"/>
            <w:vAlign w:val="bottom"/>
          </w:tcPr>
          <w:p>
            <w:pPr>
              <w:ind w:left="60"/>
              <w:spacing w:after="0"/>
              <w:rPr>
                <w:sz w:val="20"/>
                <w:szCs w:val="20"/>
                <w:color w:val="auto"/>
              </w:rPr>
            </w:pPr>
            <w:r>
              <w:rPr>
                <w:rFonts w:ascii="Arial" w:cs="Arial" w:eastAsia="Arial" w:hAnsi="Arial"/>
                <w:sz w:val="16"/>
                <w:szCs w:val="16"/>
                <w:b w:val="1"/>
                <w:bCs w:val="1"/>
                <w:color w:val="auto"/>
              </w:rPr>
              <w:t>GERBEN W. BAKKER</w:t>
            </w: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2025</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1,146,923</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5,526,100</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1,838,754</w:t>
            </w:r>
          </w:p>
        </w:tc>
        <w:tc>
          <w:tcPr>
            <w:tcW w:w="14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1,330,600</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278,645</w:t>
            </w:r>
          </w:p>
        </w:tc>
        <w:tc>
          <w:tcPr>
            <w:tcW w:w="14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225,730</w:t>
            </w:r>
          </w:p>
        </w:tc>
        <w:tc>
          <w:tcPr>
            <w:tcW w:w="9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10,346,752</w:t>
            </w:r>
          </w:p>
        </w:tc>
        <w:tc>
          <w:tcPr>
            <w:tcW w:w="0" w:type="dxa"/>
            <w:vAlign w:val="bottom"/>
          </w:tcPr>
          <w:p>
            <w:pPr>
              <w:spacing w:after="0"/>
              <w:rPr>
                <w:sz w:val="1"/>
                <w:szCs w:val="1"/>
                <w:color w:val="auto"/>
              </w:rPr>
            </w:pPr>
          </w:p>
        </w:tc>
      </w:tr>
      <w:tr>
        <w:trPr>
          <w:trHeight w:val="155"/>
        </w:trPr>
        <w:tc>
          <w:tcPr>
            <w:tcW w:w="2080" w:type="dxa"/>
            <w:vAlign w:val="bottom"/>
          </w:tcPr>
          <w:p>
            <w:pPr>
              <w:ind w:left="60"/>
              <w:spacing w:after="0" w:line="155" w:lineRule="exact"/>
              <w:rPr>
                <w:sz w:val="20"/>
                <w:szCs w:val="20"/>
                <w:color w:val="auto"/>
              </w:rPr>
            </w:pPr>
            <w:r>
              <w:rPr>
                <w:rFonts w:ascii="Arial" w:cs="Arial" w:eastAsia="Arial" w:hAnsi="Arial"/>
                <w:sz w:val="16"/>
                <w:szCs w:val="16"/>
                <w:color w:val="auto"/>
              </w:rPr>
              <w:t>Chairman, President and</w:t>
            </w:r>
          </w:p>
        </w:tc>
        <w:tc>
          <w:tcPr>
            <w:tcW w:w="540" w:type="dxa"/>
            <w:vAlign w:val="bottom"/>
          </w:tcPr>
          <w:p>
            <w:pPr>
              <w:jc w:val="right"/>
              <w:spacing w:after="0" w:line="155" w:lineRule="exact"/>
              <w:rPr>
                <w:sz w:val="20"/>
                <w:szCs w:val="20"/>
                <w:color w:val="auto"/>
              </w:rPr>
            </w:pPr>
            <w:r>
              <w:rPr>
                <w:rFonts w:ascii="Arial" w:cs="Arial" w:eastAsia="Arial" w:hAnsi="Arial"/>
                <w:sz w:val="16"/>
                <w:szCs w:val="16"/>
                <w:color w:val="auto"/>
              </w:rPr>
              <w:t>2024</w:t>
            </w: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auto"/>
              </w:rPr>
              <w:t>1,125,385</w:t>
            </w:r>
          </w:p>
        </w:tc>
        <w:tc>
          <w:tcPr>
            <w:tcW w:w="84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4,692,033</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1,464,957</w:t>
            </w:r>
          </w:p>
        </w:tc>
        <w:tc>
          <w:tcPr>
            <w:tcW w:w="1440" w:type="dxa"/>
            <w:vAlign w:val="bottom"/>
          </w:tcPr>
          <w:p>
            <w:pPr>
              <w:jc w:val="right"/>
              <w:spacing w:after="0" w:line="155" w:lineRule="exact"/>
              <w:rPr>
                <w:sz w:val="20"/>
                <w:szCs w:val="20"/>
                <w:color w:val="auto"/>
              </w:rPr>
            </w:pPr>
            <w:r>
              <w:rPr>
                <w:rFonts w:ascii="Arial" w:cs="Arial" w:eastAsia="Arial" w:hAnsi="Arial"/>
                <w:sz w:val="16"/>
                <w:szCs w:val="16"/>
                <w:color w:val="auto"/>
              </w:rPr>
              <w:t>1,582,000</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193,288</w:t>
            </w:r>
          </w:p>
        </w:tc>
        <w:tc>
          <w:tcPr>
            <w:tcW w:w="1460" w:type="dxa"/>
            <w:vAlign w:val="bottom"/>
          </w:tcPr>
          <w:p>
            <w:pPr>
              <w:jc w:val="right"/>
              <w:spacing w:after="0" w:line="155" w:lineRule="exact"/>
              <w:rPr>
                <w:sz w:val="20"/>
                <w:szCs w:val="20"/>
                <w:color w:val="auto"/>
              </w:rPr>
            </w:pPr>
            <w:r>
              <w:rPr>
                <w:rFonts w:ascii="Arial" w:cs="Arial" w:eastAsia="Arial" w:hAnsi="Arial"/>
                <w:sz w:val="16"/>
                <w:szCs w:val="16"/>
                <w:color w:val="auto"/>
              </w:rPr>
              <w:t>263,788</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9,321,451</w:t>
            </w:r>
          </w:p>
        </w:tc>
        <w:tc>
          <w:tcPr>
            <w:tcW w:w="0" w:type="dxa"/>
            <w:vAlign w:val="bottom"/>
          </w:tcPr>
          <w:p>
            <w:pPr>
              <w:spacing w:after="0"/>
              <w:rPr>
                <w:sz w:val="1"/>
                <w:szCs w:val="1"/>
                <w:color w:val="auto"/>
              </w:rPr>
            </w:pPr>
          </w:p>
        </w:tc>
      </w:tr>
      <w:tr>
        <w:trPr>
          <w:trHeight w:val="28"/>
        </w:trPr>
        <w:tc>
          <w:tcPr>
            <w:tcW w:w="2080" w:type="dxa"/>
            <w:vAlign w:val="bottom"/>
            <w:vMerge w:val="restart"/>
          </w:tcPr>
          <w:p>
            <w:pPr>
              <w:ind w:left="60"/>
              <w:spacing w:after="0"/>
              <w:rPr>
                <w:sz w:val="20"/>
                <w:szCs w:val="20"/>
                <w:color w:val="auto"/>
              </w:rPr>
            </w:pPr>
            <w:r>
              <w:rPr>
                <w:rFonts w:ascii="Arial" w:cs="Arial" w:eastAsia="Arial" w:hAnsi="Arial"/>
                <w:sz w:val="16"/>
                <w:szCs w:val="16"/>
                <w:color w:val="auto"/>
              </w:rPr>
              <w:t>Chief Executive Officer</w:t>
            </w:r>
          </w:p>
        </w:tc>
        <w:tc>
          <w:tcPr>
            <w:tcW w:w="54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8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1280" w:type="dxa"/>
            <w:vAlign w:val="bottom"/>
            <w:tcBorders>
              <w:bottom w:val="single" w:sz="8" w:color="BCBEC0"/>
            </w:tcBorders>
          </w:tcPr>
          <w:p>
            <w:pPr>
              <w:spacing w:after="0"/>
              <w:rPr>
                <w:sz w:val="2"/>
                <w:szCs w:val="2"/>
                <w:color w:val="auto"/>
              </w:rPr>
            </w:pPr>
          </w:p>
        </w:tc>
        <w:tc>
          <w:tcPr>
            <w:tcW w:w="1460" w:type="dxa"/>
            <w:vAlign w:val="bottom"/>
            <w:tcBorders>
              <w:bottom w:val="single" w:sz="8" w:color="BCBEC0"/>
            </w:tcBorders>
          </w:tcPr>
          <w:p>
            <w:pPr>
              <w:spacing w:after="0"/>
              <w:rPr>
                <w:sz w:val="2"/>
                <w:szCs w:val="2"/>
                <w:color w:val="auto"/>
              </w:rPr>
            </w:pPr>
          </w:p>
        </w:tc>
        <w:tc>
          <w:tcPr>
            <w:tcW w:w="94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BCBEC0"/>
            </w:tcBorders>
            <w:vMerge w:val="continue"/>
          </w:tcPr>
          <w:p>
            <w:pPr>
              <w:spacing w:after="0"/>
              <w:rPr>
                <w:sz w:val="15"/>
                <w:szCs w:val="15"/>
                <w:color w:val="auto"/>
              </w:rPr>
            </w:pPr>
          </w:p>
        </w:tc>
        <w:tc>
          <w:tcPr>
            <w:tcW w:w="5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2023</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1,091,231</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4,249,556</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1,394,918</w:t>
            </w:r>
          </w:p>
        </w:tc>
        <w:tc>
          <w:tcPr>
            <w:tcW w:w="1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2,442,000</w:t>
            </w:r>
          </w:p>
        </w:tc>
        <w:tc>
          <w:tcPr>
            <w:tcW w:w="12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248,969</w:t>
            </w:r>
          </w:p>
        </w:tc>
        <w:tc>
          <w:tcPr>
            <w:tcW w:w="14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239,610</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9,666,284</w:t>
            </w:r>
          </w:p>
        </w:tc>
        <w:tc>
          <w:tcPr>
            <w:tcW w:w="0" w:type="dxa"/>
            <w:vAlign w:val="bottom"/>
          </w:tcPr>
          <w:p>
            <w:pPr>
              <w:spacing w:after="0"/>
              <w:rPr>
                <w:sz w:val="1"/>
                <w:szCs w:val="1"/>
                <w:color w:val="auto"/>
              </w:rPr>
            </w:pPr>
          </w:p>
        </w:tc>
      </w:tr>
      <w:tr>
        <w:trPr>
          <w:trHeight w:val="209"/>
        </w:trPr>
        <w:tc>
          <w:tcPr>
            <w:tcW w:w="2080" w:type="dxa"/>
            <w:vAlign w:val="bottom"/>
          </w:tcPr>
          <w:p>
            <w:pPr>
              <w:ind w:left="60"/>
              <w:spacing w:after="0" w:line="210" w:lineRule="exact"/>
              <w:rPr>
                <w:sz w:val="20"/>
                <w:szCs w:val="20"/>
                <w:color w:val="auto"/>
              </w:rPr>
            </w:pPr>
            <w:r>
              <w:rPr>
                <w:rFonts w:ascii="Arial" w:cs="Arial" w:eastAsia="Arial" w:hAnsi="Arial"/>
                <w:sz w:val="15"/>
                <w:szCs w:val="15"/>
                <w:b w:val="1"/>
                <w:bCs w:val="1"/>
                <w:color w:val="auto"/>
              </w:rPr>
              <w:t>WILLIAM R. SPERRY</w:t>
            </w:r>
            <w:r>
              <w:rPr>
                <w:rFonts w:ascii="Arial" w:cs="Arial" w:eastAsia="Arial" w:hAnsi="Arial"/>
                <w:sz w:val="24"/>
                <w:szCs w:val="24"/>
                <w:b w:val="1"/>
                <w:bCs w:val="1"/>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748,492</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2,002,625</w:t>
            </w:r>
          </w:p>
        </w:tc>
        <w:tc>
          <w:tcPr>
            <w:tcW w:w="900" w:type="dxa"/>
            <w:vAlign w:val="bottom"/>
          </w:tcPr>
          <w:p>
            <w:pPr>
              <w:jc w:val="right"/>
              <w:spacing w:after="0"/>
              <w:rPr>
                <w:sz w:val="20"/>
                <w:szCs w:val="20"/>
                <w:color w:val="auto"/>
              </w:rPr>
            </w:pPr>
            <w:r>
              <w:rPr>
                <w:rFonts w:ascii="Arial" w:cs="Arial" w:eastAsia="Arial" w:hAnsi="Arial"/>
                <w:sz w:val="16"/>
                <w:szCs w:val="16"/>
                <w:color w:val="auto"/>
              </w:rPr>
              <w:t>1,000,098</w:t>
            </w:r>
          </w:p>
        </w:tc>
        <w:tc>
          <w:tcPr>
            <w:tcW w:w="1440" w:type="dxa"/>
            <w:vAlign w:val="bottom"/>
          </w:tcPr>
          <w:p>
            <w:pPr>
              <w:jc w:val="right"/>
              <w:spacing w:after="0"/>
              <w:rPr>
                <w:sz w:val="20"/>
                <w:szCs w:val="20"/>
                <w:color w:val="auto"/>
              </w:rPr>
            </w:pPr>
            <w:r>
              <w:rPr>
                <w:rFonts w:ascii="Arial" w:cs="Arial" w:eastAsia="Arial" w:hAnsi="Arial"/>
                <w:sz w:val="16"/>
                <w:szCs w:val="16"/>
                <w:color w:val="auto"/>
              </w:rPr>
              <w:t>667,500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111,473</w:t>
            </w:r>
          </w:p>
        </w:tc>
        <w:tc>
          <w:tcPr>
            <w:tcW w:w="940" w:type="dxa"/>
            <w:vAlign w:val="bottom"/>
          </w:tcPr>
          <w:p>
            <w:pPr>
              <w:jc w:val="right"/>
              <w:spacing w:after="0"/>
              <w:rPr>
                <w:sz w:val="20"/>
                <w:szCs w:val="20"/>
                <w:color w:val="auto"/>
              </w:rPr>
            </w:pPr>
            <w:r>
              <w:rPr>
                <w:rFonts w:ascii="Arial" w:cs="Arial" w:eastAsia="Arial" w:hAnsi="Arial"/>
                <w:sz w:val="16"/>
                <w:szCs w:val="16"/>
                <w:color w:val="auto"/>
              </w:rPr>
              <w:t>4,530,188</w:t>
            </w:r>
          </w:p>
        </w:tc>
        <w:tc>
          <w:tcPr>
            <w:tcW w:w="0" w:type="dxa"/>
            <w:vAlign w:val="bottom"/>
          </w:tcPr>
          <w:p>
            <w:pPr>
              <w:spacing w:after="0"/>
              <w:rPr>
                <w:sz w:val="1"/>
                <w:szCs w:val="1"/>
                <w:color w:val="auto"/>
              </w:rPr>
            </w:pPr>
          </w:p>
        </w:tc>
      </w:tr>
      <w:tr>
        <w:trPr>
          <w:trHeight w:val="41"/>
        </w:trPr>
        <w:tc>
          <w:tcPr>
            <w:tcW w:w="2080" w:type="dxa"/>
            <w:vAlign w:val="bottom"/>
            <w:vMerge w:val="restart"/>
          </w:tcPr>
          <w:p>
            <w:pPr>
              <w:ind w:left="60"/>
              <w:spacing w:after="0"/>
              <w:rPr>
                <w:sz w:val="20"/>
                <w:szCs w:val="20"/>
                <w:color w:val="auto"/>
              </w:rPr>
            </w:pPr>
            <w:r>
              <w:rPr>
                <w:rFonts w:ascii="Arial" w:cs="Arial" w:eastAsia="Arial" w:hAnsi="Arial"/>
                <w:sz w:val="16"/>
                <w:szCs w:val="16"/>
                <w:color w:val="auto"/>
              </w:rPr>
              <w:t>Executive Vice President,</w:t>
            </w:r>
          </w:p>
        </w:tc>
        <w:tc>
          <w:tcPr>
            <w:tcW w:w="540" w:type="dxa"/>
            <w:vAlign w:val="bottom"/>
            <w:tcBorders>
              <w:bottom w:val="single" w:sz="8" w:color="BCBEC0"/>
            </w:tcBorders>
          </w:tcPr>
          <w:p>
            <w:pPr>
              <w:spacing w:after="0"/>
              <w:rPr>
                <w:sz w:val="3"/>
                <w:szCs w:val="3"/>
                <w:color w:val="auto"/>
              </w:rPr>
            </w:pPr>
          </w:p>
        </w:tc>
        <w:tc>
          <w:tcPr>
            <w:tcW w:w="86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00" w:type="dxa"/>
            <w:vAlign w:val="bottom"/>
            <w:tcBorders>
              <w:bottom w:val="single" w:sz="8" w:color="BCBEC0"/>
            </w:tcBorders>
          </w:tcPr>
          <w:p>
            <w:pPr>
              <w:spacing w:after="0"/>
              <w:rPr>
                <w:sz w:val="3"/>
                <w:szCs w:val="3"/>
                <w:color w:val="auto"/>
              </w:rPr>
            </w:pPr>
          </w:p>
        </w:tc>
        <w:tc>
          <w:tcPr>
            <w:tcW w:w="900" w:type="dxa"/>
            <w:vAlign w:val="bottom"/>
            <w:tcBorders>
              <w:bottom w:val="single" w:sz="8" w:color="BCBEC0"/>
            </w:tcBorders>
          </w:tcPr>
          <w:p>
            <w:pPr>
              <w:spacing w:after="0"/>
              <w:rPr>
                <w:sz w:val="3"/>
                <w:szCs w:val="3"/>
                <w:color w:val="auto"/>
              </w:rPr>
            </w:pPr>
          </w:p>
        </w:tc>
        <w:tc>
          <w:tcPr>
            <w:tcW w:w="1440" w:type="dxa"/>
            <w:vAlign w:val="bottom"/>
            <w:tcBorders>
              <w:bottom w:val="single" w:sz="8" w:color="BCBEC0"/>
            </w:tcBorders>
          </w:tcPr>
          <w:p>
            <w:pPr>
              <w:spacing w:after="0"/>
              <w:rPr>
                <w:sz w:val="3"/>
                <w:szCs w:val="3"/>
                <w:color w:val="auto"/>
              </w:rPr>
            </w:pPr>
          </w:p>
        </w:tc>
        <w:tc>
          <w:tcPr>
            <w:tcW w:w="1280" w:type="dxa"/>
            <w:vAlign w:val="bottom"/>
            <w:tcBorders>
              <w:bottom w:val="single" w:sz="8" w:color="BCBEC0"/>
            </w:tcBorders>
          </w:tcPr>
          <w:p>
            <w:pPr>
              <w:spacing w:after="0"/>
              <w:rPr>
                <w:sz w:val="3"/>
                <w:szCs w:val="3"/>
                <w:color w:val="auto"/>
              </w:rPr>
            </w:pPr>
          </w:p>
        </w:tc>
        <w:tc>
          <w:tcPr>
            <w:tcW w:w="1460" w:type="dxa"/>
            <w:vAlign w:val="bottom"/>
            <w:tcBorders>
              <w:bottom w:val="single" w:sz="8" w:color="BCBEC0"/>
            </w:tcBorders>
          </w:tcPr>
          <w:p>
            <w:pPr>
              <w:spacing w:after="0"/>
              <w:rPr>
                <w:sz w:val="3"/>
                <w:szCs w:val="3"/>
                <w:color w:val="auto"/>
              </w:rPr>
            </w:pPr>
          </w:p>
        </w:tc>
        <w:tc>
          <w:tcPr>
            <w:tcW w:w="94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128"/>
        </w:trPr>
        <w:tc>
          <w:tcPr>
            <w:tcW w:w="2080" w:type="dxa"/>
            <w:vAlign w:val="bottom"/>
            <w:vMerge w:val="continue"/>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737,093</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1,601,192</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500,027</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745,900</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124,799</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3,709,011</w:t>
            </w:r>
          </w:p>
        </w:tc>
        <w:tc>
          <w:tcPr>
            <w:tcW w:w="0" w:type="dxa"/>
            <w:vAlign w:val="bottom"/>
          </w:tcPr>
          <w:p>
            <w:pPr>
              <w:spacing w:after="0"/>
              <w:rPr>
                <w:sz w:val="1"/>
                <w:szCs w:val="1"/>
                <w:color w:val="auto"/>
              </w:rPr>
            </w:pPr>
          </w:p>
        </w:tc>
      </w:tr>
      <w:tr>
        <w:trPr>
          <w:trHeight w:val="127"/>
        </w:trPr>
        <w:tc>
          <w:tcPr>
            <w:tcW w:w="2080" w:type="dxa"/>
            <w:vAlign w:val="bottom"/>
            <w:vMerge w:val="restart"/>
          </w:tcPr>
          <w:p>
            <w:pPr>
              <w:ind w:left="60"/>
              <w:spacing w:after="0"/>
              <w:rPr>
                <w:sz w:val="20"/>
                <w:szCs w:val="20"/>
                <w:color w:val="auto"/>
              </w:rPr>
            </w:pPr>
            <w:r>
              <w:rPr>
                <w:rFonts w:ascii="Arial" w:cs="Arial" w:eastAsia="Arial" w:hAnsi="Arial"/>
                <w:sz w:val="16"/>
                <w:szCs w:val="16"/>
                <w:color w:val="auto"/>
              </w:rPr>
              <w:t>Former Chief Financial</w:t>
            </w:r>
          </w:p>
        </w:tc>
        <w:tc>
          <w:tcPr>
            <w:tcW w:w="540" w:type="dxa"/>
            <w:vAlign w:val="bottom"/>
            <w:tcBorders>
              <w:bottom w:val="single" w:sz="8" w:color="BCBEC0"/>
            </w:tcBorders>
            <w:vMerge w:val="continue"/>
          </w:tcPr>
          <w:p>
            <w:pPr>
              <w:spacing w:after="0"/>
              <w:rPr>
                <w:sz w:val="10"/>
                <w:szCs w:val="10"/>
                <w:color w:val="auto"/>
              </w:rPr>
            </w:pPr>
          </w:p>
        </w:tc>
        <w:tc>
          <w:tcPr>
            <w:tcW w:w="860" w:type="dxa"/>
            <w:vAlign w:val="bottom"/>
            <w:tcBorders>
              <w:bottom w:val="single" w:sz="8" w:color="BCBEC0"/>
            </w:tcBorders>
            <w:vMerge w:val="continue"/>
          </w:tcPr>
          <w:p>
            <w:pPr>
              <w:spacing w:after="0"/>
              <w:rPr>
                <w:sz w:val="10"/>
                <w:szCs w:val="10"/>
                <w:color w:val="auto"/>
              </w:rPr>
            </w:pPr>
          </w:p>
        </w:tc>
        <w:tc>
          <w:tcPr>
            <w:tcW w:w="840" w:type="dxa"/>
            <w:vAlign w:val="bottom"/>
            <w:tcBorders>
              <w:bottom w:val="single" w:sz="8" w:color="BCBEC0"/>
            </w:tcBorders>
            <w:vMerge w:val="continue"/>
          </w:tcPr>
          <w:p>
            <w:pPr>
              <w:spacing w:after="0"/>
              <w:rPr>
                <w:sz w:val="10"/>
                <w:szCs w:val="10"/>
                <w:color w:val="auto"/>
              </w:rPr>
            </w:pPr>
          </w:p>
        </w:tc>
        <w:tc>
          <w:tcPr>
            <w:tcW w:w="900" w:type="dxa"/>
            <w:vAlign w:val="bottom"/>
            <w:tcBorders>
              <w:bottom w:val="single" w:sz="8" w:color="BCBEC0"/>
            </w:tcBorders>
            <w:vMerge w:val="continue"/>
          </w:tcPr>
          <w:p>
            <w:pPr>
              <w:spacing w:after="0"/>
              <w:rPr>
                <w:sz w:val="10"/>
                <w:szCs w:val="10"/>
                <w:color w:val="auto"/>
              </w:rPr>
            </w:pPr>
          </w:p>
        </w:tc>
        <w:tc>
          <w:tcPr>
            <w:tcW w:w="900" w:type="dxa"/>
            <w:vAlign w:val="bottom"/>
            <w:tcBorders>
              <w:bottom w:val="single" w:sz="8" w:color="BCBEC0"/>
            </w:tcBorders>
            <w:vMerge w:val="continue"/>
          </w:tcPr>
          <w:p>
            <w:pPr>
              <w:spacing w:after="0"/>
              <w:rPr>
                <w:sz w:val="10"/>
                <w:szCs w:val="10"/>
                <w:color w:val="auto"/>
              </w:rPr>
            </w:pPr>
          </w:p>
        </w:tc>
        <w:tc>
          <w:tcPr>
            <w:tcW w:w="1440" w:type="dxa"/>
            <w:vAlign w:val="bottom"/>
            <w:tcBorders>
              <w:bottom w:val="single" w:sz="8" w:color="BCBEC0"/>
            </w:tcBorders>
            <w:vMerge w:val="continue"/>
          </w:tcPr>
          <w:p>
            <w:pPr>
              <w:spacing w:after="0"/>
              <w:rPr>
                <w:sz w:val="10"/>
                <w:szCs w:val="10"/>
                <w:color w:val="auto"/>
              </w:rPr>
            </w:pPr>
          </w:p>
        </w:tc>
        <w:tc>
          <w:tcPr>
            <w:tcW w:w="1280" w:type="dxa"/>
            <w:vAlign w:val="bottom"/>
            <w:tcBorders>
              <w:bottom w:val="single" w:sz="8" w:color="BCBEC0"/>
            </w:tcBorders>
            <w:vMerge w:val="continue"/>
          </w:tcPr>
          <w:p>
            <w:pPr>
              <w:spacing w:after="0"/>
              <w:rPr>
                <w:sz w:val="10"/>
                <w:szCs w:val="10"/>
                <w:color w:val="auto"/>
              </w:rPr>
            </w:pPr>
          </w:p>
        </w:tc>
        <w:tc>
          <w:tcPr>
            <w:tcW w:w="1460" w:type="dxa"/>
            <w:vAlign w:val="bottom"/>
            <w:tcBorders>
              <w:bottom w:val="single" w:sz="8" w:color="BCBEC0"/>
            </w:tcBorders>
            <w:vMerge w:val="continue"/>
          </w:tcPr>
          <w:p>
            <w:pPr>
              <w:spacing w:after="0"/>
              <w:rPr>
                <w:sz w:val="10"/>
                <w:szCs w:val="10"/>
                <w:color w:val="auto"/>
              </w:rPr>
            </w:pPr>
          </w:p>
        </w:tc>
        <w:tc>
          <w:tcPr>
            <w:tcW w:w="940" w:type="dxa"/>
            <w:vAlign w:val="bottom"/>
            <w:tcBorders>
              <w:bottom w:val="single" w:sz="8" w:color="BCBEC0"/>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7"/>
        </w:trPr>
        <w:tc>
          <w:tcPr>
            <w:tcW w:w="20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8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Officer</w:t>
            </w: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716,154</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1,484,994</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487,474</w:t>
            </w:r>
          </w:p>
        </w:tc>
        <w:tc>
          <w:tcPr>
            <w:tcW w:w="14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1,198,800</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121,995</w:t>
            </w:r>
          </w:p>
        </w:tc>
        <w:tc>
          <w:tcPr>
            <w:tcW w:w="9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4,009,417</w:t>
            </w:r>
          </w:p>
        </w:tc>
        <w:tc>
          <w:tcPr>
            <w:tcW w:w="0" w:type="dxa"/>
            <w:vAlign w:val="bottom"/>
          </w:tcPr>
          <w:p>
            <w:pPr>
              <w:spacing w:after="0"/>
              <w:rPr>
                <w:sz w:val="1"/>
                <w:szCs w:val="1"/>
                <w:color w:val="auto"/>
              </w:rPr>
            </w:pPr>
          </w:p>
        </w:tc>
      </w:tr>
      <w:tr>
        <w:trPr>
          <w:trHeight w:val="183"/>
        </w:trPr>
        <w:tc>
          <w:tcPr>
            <w:tcW w:w="20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5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2025</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631,923</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826,268</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275,012</w:t>
            </w:r>
          </w:p>
        </w:tc>
        <w:tc>
          <w:tcPr>
            <w:tcW w:w="1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442,900</w:t>
            </w:r>
          </w:p>
        </w:tc>
        <w:tc>
          <w:tcPr>
            <w:tcW w:w="12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138,072</w:t>
            </w:r>
          </w:p>
        </w:tc>
        <w:tc>
          <w:tcPr>
            <w:tcW w:w="14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72,744</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2,386,919</w:t>
            </w:r>
          </w:p>
        </w:tc>
        <w:tc>
          <w:tcPr>
            <w:tcW w:w="0" w:type="dxa"/>
            <w:vAlign w:val="bottom"/>
          </w:tcPr>
          <w:p>
            <w:pPr>
              <w:spacing w:after="0"/>
              <w:rPr>
                <w:sz w:val="1"/>
                <w:szCs w:val="1"/>
                <w:color w:val="auto"/>
              </w:rPr>
            </w:pPr>
          </w:p>
        </w:tc>
      </w:tr>
      <w:tr>
        <w:trPr>
          <w:trHeight w:val="155"/>
        </w:trPr>
        <w:tc>
          <w:tcPr>
            <w:tcW w:w="2080" w:type="dxa"/>
            <w:vAlign w:val="bottom"/>
          </w:tcPr>
          <w:p>
            <w:pPr>
              <w:ind w:left="60"/>
              <w:spacing w:after="0" w:line="155" w:lineRule="exact"/>
              <w:rPr>
                <w:sz w:val="20"/>
                <w:szCs w:val="20"/>
                <w:color w:val="auto"/>
              </w:rPr>
            </w:pPr>
            <w:r>
              <w:rPr>
                <w:rFonts w:ascii="Arial" w:cs="Arial" w:eastAsia="Arial" w:hAnsi="Arial"/>
                <w:sz w:val="16"/>
                <w:szCs w:val="16"/>
                <w:color w:val="auto"/>
              </w:rPr>
              <w:t>President, Electrical</w:t>
            </w:r>
          </w:p>
        </w:tc>
        <w:tc>
          <w:tcPr>
            <w:tcW w:w="540" w:type="dxa"/>
            <w:vAlign w:val="bottom"/>
          </w:tcPr>
          <w:p>
            <w:pPr>
              <w:jc w:val="right"/>
              <w:spacing w:after="0" w:line="155" w:lineRule="exact"/>
              <w:rPr>
                <w:sz w:val="20"/>
                <w:szCs w:val="20"/>
                <w:color w:val="auto"/>
              </w:rPr>
            </w:pPr>
            <w:r>
              <w:rPr>
                <w:rFonts w:ascii="Arial" w:cs="Arial" w:eastAsia="Arial" w:hAnsi="Arial"/>
                <w:sz w:val="16"/>
                <w:szCs w:val="16"/>
                <w:color w:val="auto"/>
              </w:rPr>
              <w:t>2024</w:t>
            </w: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auto"/>
              </w:rPr>
              <w:t>612,692</w:t>
            </w:r>
          </w:p>
        </w:tc>
        <w:tc>
          <w:tcPr>
            <w:tcW w:w="84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925,751</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375,021</w:t>
            </w:r>
          </w:p>
        </w:tc>
        <w:tc>
          <w:tcPr>
            <w:tcW w:w="1440" w:type="dxa"/>
            <w:vAlign w:val="bottom"/>
          </w:tcPr>
          <w:p>
            <w:pPr>
              <w:jc w:val="right"/>
              <w:spacing w:after="0" w:line="155" w:lineRule="exact"/>
              <w:rPr>
                <w:sz w:val="20"/>
                <w:szCs w:val="20"/>
                <w:color w:val="auto"/>
              </w:rPr>
            </w:pPr>
            <w:r>
              <w:rPr>
                <w:rFonts w:ascii="Arial" w:cs="Arial" w:eastAsia="Arial" w:hAnsi="Arial"/>
                <w:sz w:val="16"/>
                <w:szCs w:val="16"/>
                <w:color w:val="auto"/>
              </w:rPr>
              <w:t>558,100</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104,386</w:t>
            </w:r>
          </w:p>
        </w:tc>
        <w:tc>
          <w:tcPr>
            <w:tcW w:w="1460" w:type="dxa"/>
            <w:vAlign w:val="bottom"/>
          </w:tcPr>
          <w:p>
            <w:pPr>
              <w:jc w:val="right"/>
              <w:spacing w:after="0" w:line="155" w:lineRule="exact"/>
              <w:rPr>
                <w:sz w:val="20"/>
                <w:szCs w:val="20"/>
                <w:color w:val="auto"/>
              </w:rPr>
            </w:pPr>
            <w:r>
              <w:rPr>
                <w:rFonts w:ascii="Arial" w:cs="Arial" w:eastAsia="Arial" w:hAnsi="Arial"/>
                <w:sz w:val="16"/>
                <w:szCs w:val="16"/>
                <w:color w:val="auto"/>
              </w:rPr>
              <w:t>104,234</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2,680,184</w:t>
            </w:r>
          </w:p>
        </w:tc>
        <w:tc>
          <w:tcPr>
            <w:tcW w:w="0" w:type="dxa"/>
            <w:vAlign w:val="bottom"/>
          </w:tcPr>
          <w:p>
            <w:pPr>
              <w:spacing w:after="0"/>
              <w:rPr>
                <w:sz w:val="1"/>
                <w:szCs w:val="1"/>
                <w:color w:val="auto"/>
              </w:rPr>
            </w:pPr>
          </w:p>
        </w:tc>
      </w:tr>
      <w:tr>
        <w:trPr>
          <w:trHeight w:val="28"/>
        </w:trPr>
        <w:tc>
          <w:tcPr>
            <w:tcW w:w="2080" w:type="dxa"/>
            <w:vAlign w:val="bottom"/>
            <w:vMerge w:val="restart"/>
          </w:tcPr>
          <w:p>
            <w:pPr>
              <w:ind w:left="60"/>
              <w:spacing w:after="0"/>
              <w:rPr>
                <w:sz w:val="20"/>
                <w:szCs w:val="20"/>
                <w:color w:val="auto"/>
              </w:rPr>
            </w:pPr>
            <w:r>
              <w:rPr>
                <w:rFonts w:ascii="Arial" w:cs="Arial" w:eastAsia="Arial" w:hAnsi="Arial"/>
                <w:sz w:val="16"/>
                <w:szCs w:val="16"/>
                <w:color w:val="auto"/>
              </w:rPr>
              <w:t>Solutions Segment</w:t>
            </w:r>
          </w:p>
        </w:tc>
        <w:tc>
          <w:tcPr>
            <w:tcW w:w="54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8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1280" w:type="dxa"/>
            <w:vAlign w:val="bottom"/>
            <w:tcBorders>
              <w:bottom w:val="single" w:sz="8" w:color="BCBEC0"/>
            </w:tcBorders>
          </w:tcPr>
          <w:p>
            <w:pPr>
              <w:spacing w:after="0"/>
              <w:rPr>
                <w:sz w:val="2"/>
                <w:szCs w:val="2"/>
                <w:color w:val="auto"/>
              </w:rPr>
            </w:pPr>
          </w:p>
        </w:tc>
        <w:tc>
          <w:tcPr>
            <w:tcW w:w="1460" w:type="dxa"/>
            <w:vAlign w:val="bottom"/>
            <w:tcBorders>
              <w:bottom w:val="single" w:sz="8" w:color="BCBEC0"/>
            </w:tcBorders>
          </w:tcPr>
          <w:p>
            <w:pPr>
              <w:spacing w:after="0"/>
              <w:rPr>
                <w:sz w:val="2"/>
                <w:szCs w:val="2"/>
                <w:color w:val="auto"/>
              </w:rPr>
            </w:pPr>
          </w:p>
        </w:tc>
        <w:tc>
          <w:tcPr>
            <w:tcW w:w="94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80" w:type="dxa"/>
            <w:vAlign w:val="bottom"/>
            <w:tcBorders>
              <w:bottom w:val="single" w:sz="8" w:color="BCBEC0"/>
            </w:tcBorders>
            <w:vMerge w:val="continue"/>
          </w:tcPr>
          <w:p>
            <w:pPr>
              <w:spacing w:after="0"/>
              <w:rPr>
                <w:sz w:val="15"/>
                <w:szCs w:val="15"/>
                <w:color w:val="auto"/>
              </w:rPr>
            </w:pPr>
          </w:p>
        </w:tc>
        <w:tc>
          <w:tcPr>
            <w:tcW w:w="5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2023</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558,125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579,439</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375,057</w:t>
            </w:r>
          </w:p>
        </w:tc>
        <w:tc>
          <w:tcPr>
            <w:tcW w:w="1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733,500</w:t>
            </w:r>
          </w:p>
        </w:tc>
        <w:tc>
          <w:tcPr>
            <w:tcW w:w="12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96,243</w:t>
            </w:r>
          </w:p>
        </w:tc>
        <w:tc>
          <w:tcPr>
            <w:tcW w:w="14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94,866</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2,437,230</w:t>
            </w:r>
          </w:p>
        </w:tc>
        <w:tc>
          <w:tcPr>
            <w:tcW w:w="0" w:type="dxa"/>
            <w:vAlign w:val="bottom"/>
          </w:tcPr>
          <w:p>
            <w:pPr>
              <w:spacing w:after="0"/>
              <w:rPr>
                <w:sz w:val="1"/>
                <w:szCs w:val="1"/>
                <w:color w:val="auto"/>
              </w:rPr>
            </w:pPr>
          </w:p>
        </w:tc>
      </w:tr>
      <w:tr>
        <w:trPr>
          <w:trHeight w:val="183"/>
        </w:trPr>
        <w:tc>
          <w:tcPr>
            <w:tcW w:w="208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GREGORY A. GUMBS</w:t>
            </w:r>
          </w:p>
        </w:tc>
        <w:tc>
          <w:tcPr>
            <w:tcW w:w="5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2025</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643,446</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826,268</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275,012</w:t>
            </w:r>
          </w:p>
        </w:tc>
        <w:tc>
          <w:tcPr>
            <w:tcW w:w="1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425,700</w:t>
            </w:r>
          </w:p>
        </w:tc>
        <w:tc>
          <w:tcPr>
            <w:tcW w:w="12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88,046</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2,258,472</w:t>
            </w:r>
          </w:p>
        </w:tc>
        <w:tc>
          <w:tcPr>
            <w:tcW w:w="0" w:type="dxa"/>
            <w:vAlign w:val="bottom"/>
          </w:tcPr>
          <w:p>
            <w:pPr>
              <w:spacing w:after="0"/>
              <w:rPr>
                <w:sz w:val="1"/>
                <w:szCs w:val="1"/>
                <w:color w:val="auto"/>
              </w:rPr>
            </w:pPr>
          </w:p>
        </w:tc>
      </w:tr>
      <w:tr>
        <w:trPr>
          <w:trHeight w:val="155"/>
        </w:trPr>
        <w:tc>
          <w:tcPr>
            <w:tcW w:w="2080" w:type="dxa"/>
            <w:vAlign w:val="bottom"/>
          </w:tcPr>
          <w:p>
            <w:pPr>
              <w:ind w:left="60"/>
              <w:spacing w:after="0" w:line="155" w:lineRule="exact"/>
              <w:rPr>
                <w:sz w:val="20"/>
                <w:szCs w:val="20"/>
                <w:color w:val="auto"/>
              </w:rPr>
            </w:pPr>
            <w:r>
              <w:rPr>
                <w:rFonts w:ascii="Arial" w:cs="Arial" w:eastAsia="Arial" w:hAnsi="Arial"/>
                <w:sz w:val="16"/>
                <w:szCs w:val="16"/>
                <w:color w:val="auto"/>
              </w:rPr>
              <w:t>President, Utility</w:t>
            </w:r>
          </w:p>
        </w:tc>
        <w:tc>
          <w:tcPr>
            <w:tcW w:w="540" w:type="dxa"/>
            <w:vAlign w:val="bottom"/>
          </w:tcPr>
          <w:p>
            <w:pPr>
              <w:jc w:val="right"/>
              <w:spacing w:after="0" w:line="155" w:lineRule="exact"/>
              <w:rPr>
                <w:sz w:val="20"/>
                <w:szCs w:val="20"/>
                <w:color w:val="auto"/>
              </w:rPr>
            </w:pPr>
            <w:r>
              <w:rPr>
                <w:rFonts w:ascii="Arial" w:cs="Arial" w:eastAsia="Arial" w:hAnsi="Arial"/>
                <w:sz w:val="16"/>
                <w:szCs w:val="16"/>
                <w:color w:val="auto"/>
              </w:rPr>
              <w:t>2024</w:t>
            </w:r>
          </w:p>
        </w:tc>
        <w:tc>
          <w:tcPr>
            <w:tcW w:w="860" w:type="dxa"/>
            <w:vAlign w:val="bottom"/>
          </w:tcPr>
          <w:p>
            <w:pPr>
              <w:jc w:val="right"/>
              <w:spacing w:after="0" w:line="155" w:lineRule="exact"/>
              <w:rPr>
                <w:sz w:val="20"/>
                <w:szCs w:val="20"/>
                <w:color w:val="auto"/>
              </w:rPr>
            </w:pPr>
            <w:r>
              <w:rPr>
                <w:rFonts w:ascii="Arial" w:cs="Arial" w:eastAsia="Arial" w:hAnsi="Arial"/>
                <w:sz w:val="16"/>
                <w:szCs w:val="16"/>
                <w:color w:val="auto"/>
              </w:rPr>
              <w:t>632,608</w:t>
            </w:r>
          </w:p>
        </w:tc>
        <w:tc>
          <w:tcPr>
            <w:tcW w:w="84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800,596</w:t>
            </w:r>
          </w:p>
        </w:tc>
        <w:tc>
          <w:tcPr>
            <w:tcW w:w="900" w:type="dxa"/>
            <w:vAlign w:val="bottom"/>
          </w:tcPr>
          <w:p>
            <w:pPr>
              <w:jc w:val="right"/>
              <w:spacing w:after="0" w:line="155" w:lineRule="exact"/>
              <w:rPr>
                <w:sz w:val="20"/>
                <w:szCs w:val="20"/>
                <w:color w:val="auto"/>
              </w:rPr>
            </w:pPr>
            <w:r>
              <w:rPr>
                <w:rFonts w:ascii="Arial" w:cs="Arial" w:eastAsia="Arial" w:hAnsi="Arial"/>
                <w:sz w:val="16"/>
                <w:szCs w:val="16"/>
                <w:color w:val="auto"/>
              </w:rPr>
              <w:t>250,014</w:t>
            </w:r>
          </w:p>
        </w:tc>
        <w:tc>
          <w:tcPr>
            <w:tcW w:w="1440" w:type="dxa"/>
            <w:vAlign w:val="bottom"/>
          </w:tcPr>
          <w:p>
            <w:pPr>
              <w:jc w:val="right"/>
              <w:spacing w:after="0" w:line="155" w:lineRule="exact"/>
              <w:rPr>
                <w:sz w:val="20"/>
                <w:szCs w:val="20"/>
                <w:color w:val="auto"/>
              </w:rPr>
            </w:pPr>
            <w:r>
              <w:rPr>
                <w:rFonts w:ascii="Arial" w:cs="Arial" w:eastAsia="Arial" w:hAnsi="Arial"/>
                <w:sz w:val="16"/>
                <w:szCs w:val="16"/>
                <w:color w:val="auto"/>
              </w:rPr>
              <w:t>471,500</w:t>
            </w:r>
          </w:p>
        </w:tc>
        <w:tc>
          <w:tcPr>
            <w:tcW w:w="1280" w:type="dxa"/>
            <w:vAlign w:val="bottom"/>
          </w:tcPr>
          <w:p>
            <w:pPr>
              <w:jc w:val="right"/>
              <w:spacing w:after="0" w:line="155" w:lineRule="exact"/>
              <w:rPr>
                <w:sz w:val="20"/>
                <w:szCs w:val="20"/>
                <w:color w:val="auto"/>
              </w:rPr>
            </w:pPr>
            <w:r>
              <w:rPr>
                <w:rFonts w:ascii="Arial" w:cs="Arial" w:eastAsia="Arial" w:hAnsi="Arial"/>
                <w:sz w:val="16"/>
                <w:szCs w:val="16"/>
                <w:color w:val="auto"/>
              </w:rPr>
              <w:t>—</w:t>
            </w:r>
          </w:p>
        </w:tc>
        <w:tc>
          <w:tcPr>
            <w:tcW w:w="1460" w:type="dxa"/>
            <w:vAlign w:val="bottom"/>
          </w:tcPr>
          <w:p>
            <w:pPr>
              <w:jc w:val="right"/>
              <w:spacing w:after="0" w:line="155" w:lineRule="exact"/>
              <w:rPr>
                <w:sz w:val="20"/>
                <w:szCs w:val="20"/>
                <w:color w:val="auto"/>
              </w:rPr>
            </w:pPr>
            <w:r>
              <w:rPr>
                <w:rFonts w:ascii="Arial" w:cs="Arial" w:eastAsia="Arial" w:hAnsi="Arial"/>
                <w:sz w:val="16"/>
                <w:szCs w:val="16"/>
                <w:color w:val="auto"/>
              </w:rPr>
              <w:t>84,389</w:t>
            </w:r>
          </w:p>
        </w:tc>
        <w:tc>
          <w:tcPr>
            <w:tcW w:w="940" w:type="dxa"/>
            <w:vAlign w:val="bottom"/>
          </w:tcPr>
          <w:p>
            <w:pPr>
              <w:jc w:val="right"/>
              <w:spacing w:after="0" w:line="155" w:lineRule="exact"/>
              <w:rPr>
                <w:sz w:val="20"/>
                <w:szCs w:val="20"/>
                <w:color w:val="auto"/>
              </w:rPr>
            </w:pPr>
            <w:r>
              <w:rPr>
                <w:rFonts w:ascii="Arial" w:cs="Arial" w:eastAsia="Arial" w:hAnsi="Arial"/>
                <w:sz w:val="16"/>
                <w:szCs w:val="16"/>
                <w:color w:val="auto"/>
              </w:rPr>
              <w:t>2,239,107</w:t>
            </w:r>
          </w:p>
        </w:tc>
        <w:tc>
          <w:tcPr>
            <w:tcW w:w="0" w:type="dxa"/>
            <w:vAlign w:val="bottom"/>
          </w:tcPr>
          <w:p>
            <w:pPr>
              <w:spacing w:after="0"/>
              <w:rPr>
                <w:sz w:val="1"/>
                <w:szCs w:val="1"/>
                <w:color w:val="auto"/>
              </w:rPr>
            </w:pPr>
          </w:p>
        </w:tc>
      </w:tr>
      <w:tr>
        <w:trPr>
          <w:trHeight w:val="28"/>
        </w:trPr>
        <w:tc>
          <w:tcPr>
            <w:tcW w:w="2080" w:type="dxa"/>
            <w:vAlign w:val="bottom"/>
            <w:vMerge w:val="restart"/>
          </w:tcPr>
          <w:p>
            <w:pPr>
              <w:ind w:left="60"/>
              <w:spacing w:after="0"/>
              <w:rPr>
                <w:sz w:val="20"/>
                <w:szCs w:val="20"/>
                <w:color w:val="auto"/>
              </w:rPr>
            </w:pPr>
            <w:r>
              <w:rPr>
                <w:rFonts w:ascii="Arial" w:cs="Arial" w:eastAsia="Arial" w:hAnsi="Arial"/>
                <w:sz w:val="16"/>
                <w:szCs w:val="16"/>
                <w:color w:val="auto"/>
              </w:rPr>
              <w:t>Solutions Segment</w:t>
            </w:r>
          </w:p>
        </w:tc>
        <w:tc>
          <w:tcPr>
            <w:tcW w:w="540" w:type="dxa"/>
            <w:vAlign w:val="bottom"/>
            <w:tcBorders>
              <w:bottom w:val="single" w:sz="8" w:color="BCBEC0"/>
            </w:tcBorders>
          </w:tcPr>
          <w:p>
            <w:pPr>
              <w:spacing w:after="0"/>
              <w:rPr>
                <w:sz w:val="2"/>
                <w:szCs w:val="2"/>
                <w:color w:val="auto"/>
              </w:rPr>
            </w:pPr>
          </w:p>
        </w:tc>
        <w:tc>
          <w:tcPr>
            <w:tcW w:w="860" w:type="dxa"/>
            <w:vAlign w:val="bottom"/>
            <w:tcBorders>
              <w:bottom w:val="single" w:sz="8" w:color="BCBEC0"/>
            </w:tcBorders>
          </w:tcPr>
          <w:p>
            <w:pPr>
              <w:spacing w:after="0"/>
              <w:rPr>
                <w:sz w:val="2"/>
                <w:szCs w:val="2"/>
                <w:color w:val="auto"/>
              </w:rPr>
            </w:pPr>
          </w:p>
        </w:tc>
        <w:tc>
          <w:tcPr>
            <w:tcW w:w="84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900" w:type="dxa"/>
            <w:vAlign w:val="bottom"/>
            <w:tcBorders>
              <w:bottom w:val="single" w:sz="8" w:color="BCBEC0"/>
            </w:tcBorders>
          </w:tcPr>
          <w:p>
            <w:pPr>
              <w:spacing w:after="0"/>
              <w:rPr>
                <w:sz w:val="2"/>
                <w:szCs w:val="2"/>
                <w:color w:val="auto"/>
              </w:rPr>
            </w:pPr>
          </w:p>
        </w:tc>
        <w:tc>
          <w:tcPr>
            <w:tcW w:w="1440" w:type="dxa"/>
            <w:vAlign w:val="bottom"/>
            <w:tcBorders>
              <w:bottom w:val="single" w:sz="8" w:color="BCBEC0"/>
            </w:tcBorders>
          </w:tcPr>
          <w:p>
            <w:pPr>
              <w:spacing w:after="0"/>
              <w:rPr>
                <w:sz w:val="2"/>
                <w:szCs w:val="2"/>
                <w:color w:val="auto"/>
              </w:rPr>
            </w:pPr>
          </w:p>
        </w:tc>
        <w:tc>
          <w:tcPr>
            <w:tcW w:w="1280" w:type="dxa"/>
            <w:vAlign w:val="bottom"/>
            <w:tcBorders>
              <w:bottom w:val="single" w:sz="8" w:color="BCBEC0"/>
            </w:tcBorders>
          </w:tcPr>
          <w:p>
            <w:pPr>
              <w:spacing w:after="0"/>
              <w:rPr>
                <w:sz w:val="2"/>
                <w:szCs w:val="2"/>
                <w:color w:val="auto"/>
              </w:rPr>
            </w:pPr>
          </w:p>
        </w:tc>
        <w:tc>
          <w:tcPr>
            <w:tcW w:w="1460" w:type="dxa"/>
            <w:vAlign w:val="bottom"/>
            <w:tcBorders>
              <w:bottom w:val="single" w:sz="8" w:color="BCBEC0"/>
            </w:tcBorders>
          </w:tcPr>
          <w:p>
            <w:pPr>
              <w:spacing w:after="0"/>
              <w:rPr>
                <w:sz w:val="2"/>
                <w:szCs w:val="2"/>
                <w:color w:val="auto"/>
              </w:rPr>
            </w:pPr>
          </w:p>
        </w:tc>
        <w:tc>
          <w:tcPr>
            <w:tcW w:w="940" w:type="dxa"/>
            <w:vAlign w:val="bottom"/>
            <w:tcBorders>
              <w:bottom w:val="single" w:sz="8" w:color="BCBEC0"/>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2080" w:type="dxa"/>
            <w:vAlign w:val="bottom"/>
            <w:tcBorders>
              <w:bottom w:val="single" w:sz="8" w:color="BCBEC0"/>
            </w:tcBorders>
            <w:vMerge w:val="continue"/>
          </w:tcPr>
          <w:p>
            <w:pPr>
              <w:spacing w:after="0"/>
              <w:rPr>
                <w:sz w:val="15"/>
                <w:szCs w:val="15"/>
                <w:color w:val="auto"/>
              </w:rPr>
            </w:pPr>
          </w:p>
        </w:tc>
        <w:tc>
          <w:tcPr>
            <w:tcW w:w="5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2023</w:t>
            </w: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298,077</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450,000</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437,540</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437,519</w:t>
            </w:r>
          </w:p>
        </w:tc>
        <w:tc>
          <w:tcPr>
            <w:tcW w:w="14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430,100</w:t>
            </w:r>
          </w:p>
        </w:tc>
        <w:tc>
          <w:tcPr>
            <w:tcW w:w="12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39,895</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2,093,131</w:t>
            </w:r>
          </w:p>
        </w:tc>
        <w:tc>
          <w:tcPr>
            <w:tcW w:w="0" w:type="dxa"/>
            <w:vAlign w:val="bottom"/>
          </w:tcPr>
          <w:p>
            <w:pPr>
              <w:spacing w:after="0"/>
              <w:rPr>
                <w:sz w:val="1"/>
                <w:szCs w:val="1"/>
                <w:color w:val="auto"/>
              </w:rPr>
            </w:pPr>
          </w:p>
        </w:tc>
      </w:tr>
      <w:tr>
        <w:trPr>
          <w:trHeight w:val="196"/>
        </w:trPr>
        <w:tc>
          <w:tcPr>
            <w:tcW w:w="2080" w:type="dxa"/>
            <w:vAlign w:val="bottom"/>
          </w:tcPr>
          <w:p>
            <w:pPr>
              <w:ind w:left="60"/>
              <w:spacing w:after="0"/>
              <w:rPr>
                <w:sz w:val="20"/>
                <w:szCs w:val="20"/>
                <w:color w:val="auto"/>
              </w:rPr>
            </w:pPr>
            <w:r>
              <w:rPr>
                <w:rFonts w:ascii="Arial" w:cs="Arial" w:eastAsia="Arial" w:hAnsi="Arial"/>
                <w:sz w:val="16"/>
                <w:szCs w:val="16"/>
                <w:b w:val="1"/>
                <w:bCs w:val="1"/>
                <w:color w:val="auto"/>
              </w:rPr>
              <w:t>KATHERINE A. LANE</w:t>
            </w:r>
          </w:p>
        </w:tc>
        <w:tc>
          <w:tcPr>
            <w:tcW w:w="540" w:type="dxa"/>
            <w:vAlign w:val="bottom"/>
          </w:tcPr>
          <w:p>
            <w:pPr>
              <w:jc w:val="right"/>
              <w:spacing w:after="0"/>
              <w:rPr>
                <w:sz w:val="20"/>
                <w:szCs w:val="20"/>
                <w:color w:val="auto"/>
              </w:rPr>
            </w:pPr>
            <w:r>
              <w:rPr>
                <w:rFonts w:ascii="Arial" w:cs="Arial" w:eastAsia="Arial" w:hAnsi="Arial"/>
                <w:sz w:val="16"/>
                <w:szCs w:val="16"/>
                <w:color w:val="auto"/>
              </w:rPr>
              <w:t>2025</w:t>
            </w:r>
          </w:p>
        </w:tc>
        <w:tc>
          <w:tcPr>
            <w:tcW w:w="860" w:type="dxa"/>
            <w:vAlign w:val="bottom"/>
          </w:tcPr>
          <w:p>
            <w:pPr>
              <w:jc w:val="right"/>
              <w:spacing w:after="0"/>
              <w:rPr>
                <w:sz w:val="20"/>
                <w:szCs w:val="20"/>
                <w:color w:val="auto"/>
              </w:rPr>
            </w:pPr>
            <w:r>
              <w:rPr>
                <w:rFonts w:ascii="Arial" w:cs="Arial" w:eastAsia="Arial" w:hAnsi="Arial"/>
                <w:sz w:val="16"/>
                <w:szCs w:val="16"/>
                <w:color w:val="auto"/>
              </w:rPr>
              <w:t>571,169</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826,268</w:t>
            </w:r>
          </w:p>
        </w:tc>
        <w:tc>
          <w:tcPr>
            <w:tcW w:w="900" w:type="dxa"/>
            <w:vAlign w:val="bottom"/>
          </w:tcPr>
          <w:p>
            <w:pPr>
              <w:jc w:val="right"/>
              <w:spacing w:after="0"/>
              <w:rPr>
                <w:sz w:val="20"/>
                <w:szCs w:val="20"/>
                <w:color w:val="auto"/>
              </w:rPr>
            </w:pPr>
            <w:r>
              <w:rPr>
                <w:rFonts w:ascii="Arial" w:cs="Arial" w:eastAsia="Arial" w:hAnsi="Arial"/>
                <w:sz w:val="16"/>
                <w:szCs w:val="16"/>
                <w:color w:val="auto"/>
              </w:rPr>
              <w:t>275,012</w:t>
            </w:r>
          </w:p>
        </w:tc>
        <w:tc>
          <w:tcPr>
            <w:tcW w:w="1440" w:type="dxa"/>
            <w:vAlign w:val="bottom"/>
          </w:tcPr>
          <w:p>
            <w:pPr>
              <w:jc w:val="right"/>
              <w:spacing w:after="0"/>
              <w:rPr>
                <w:sz w:val="20"/>
                <w:szCs w:val="20"/>
                <w:color w:val="auto"/>
              </w:rPr>
            </w:pPr>
            <w:r>
              <w:rPr>
                <w:rFonts w:ascii="Arial" w:cs="Arial" w:eastAsia="Arial" w:hAnsi="Arial"/>
                <w:sz w:val="16"/>
                <w:szCs w:val="16"/>
                <w:color w:val="auto"/>
              </w:rPr>
              <w:t>383,800</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89,049</w:t>
            </w:r>
          </w:p>
        </w:tc>
        <w:tc>
          <w:tcPr>
            <w:tcW w:w="940" w:type="dxa"/>
            <w:vAlign w:val="bottom"/>
          </w:tcPr>
          <w:p>
            <w:pPr>
              <w:jc w:val="right"/>
              <w:spacing w:after="0"/>
              <w:rPr>
                <w:sz w:val="20"/>
                <w:szCs w:val="20"/>
                <w:color w:val="auto"/>
              </w:rPr>
            </w:pPr>
            <w:r>
              <w:rPr>
                <w:rFonts w:ascii="Arial" w:cs="Arial" w:eastAsia="Arial" w:hAnsi="Arial"/>
                <w:sz w:val="16"/>
                <w:szCs w:val="16"/>
                <w:color w:val="auto"/>
              </w:rPr>
              <w:t>2,145,298</w:t>
            </w:r>
          </w:p>
        </w:tc>
        <w:tc>
          <w:tcPr>
            <w:tcW w:w="0" w:type="dxa"/>
            <w:vAlign w:val="bottom"/>
          </w:tcPr>
          <w:p>
            <w:pPr>
              <w:spacing w:after="0"/>
              <w:rPr>
                <w:sz w:val="1"/>
                <w:szCs w:val="1"/>
                <w:color w:val="auto"/>
              </w:rPr>
            </w:pPr>
          </w:p>
        </w:tc>
      </w:tr>
      <w:tr>
        <w:trPr>
          <w:trHeight w:val="40"/>
        </w:trPr>
        <w:tc>
          <w:tcPr>
            <w:tcW w:w="2080" w:type="dxa"/>
            <w:vAlign w:val="bottom"/>
            <w:vMerge w:val="restart"/>
          </w:tcPr>
          <w:p>
            <w:pPr>
              <w:ind w:left="60"/>
              <w:spacing w:after="0" w:line="161" w:lineRule="exact"/>
              <w:rPr>
                <w:sz w:val="20"/>
                <w:szCs w:val="20"/>
                <w:color w:val="auto"/>
              </w:rPr>
            </w:pPr>
            <w:r>
              <w:rPr>
                <w:rFonts w:ascii="Arial" w:cs="Arial" w:eastAsia="Arial" w:hAnsi="Arial"/>
                <w:sz w:val="16"/>
                <w:szCs w:val="16"/>
                <w:color w:val="auto"/>
              </w:rPr>
              <w:t>Executive Vice President,</w:t>
            </w:r>
          </w:p>
        </w:tc>
        <w:tc>
          <w:tcPr>
            <w:tcW w:w="540" w:type="dxa"/>
            <w:vAlign w:val="bottom"/>
            <w:tcBorders>
              <w:bottom w:val="single" w:sz="8" w:color="BCBEC0"/>
            </w:tcBorders>
          </w:tcPr>
          <w:p>
            <w:pPr>
              <w:spacing w:after="0"/>
              <w:rPr>
                <w:sz w:val="3"/>
                <w:szCs w:val="3"/>
                <w:color w:val="auto"/>
              </w:rPr>
            </w:pPr>
          </w:p>
        </w:tc>
        <w:tc>
          <w:tcPr>
            <w:tcW w:w="860" w:type="dxa"/>
            <w:vAlign w:val="bottom"/>
            <w:tcBorders>
              <w:bottom w:val="single" w:sz="8" w:color="BCBEC0"/>
            </w:tcBorders>
          </w:tcPr>
          <w:p>
            <w:pPr>
              <w:spacing w:after="0"/>
              <w:rPr>
                <w:sz w:val="3"/>
                <w:szCs w:val="3"/>
                <w:color w:val="auto"/>
              </w:rPr>
            </w:pPr>
          </w:p>
        </w:tc>
        <w:tc>
          <w:tcPr>
            <w:tcW w:w="840" w:type="dxa"/>
            <w:vAlign w:val="bottom"/>
            <w:tcBorders>
              <w:bottom w:val="single" w:sz="8" w:color="BCBEC0"/>
            </w:tcBorders>
          </w:tcPr>
          <w:p>
            <w:pPr>
              <w:spacing w:after="0"/>
              <w:rPr>
                <w:sz w:val="3"/>
                <w:szCs w:val="3"/>
                <w:color w:val="auto"/>
              </w:rPr>
            </w:pPr>
          </w:p>
        </w:tc>
        <w:tc>
          <w:tcPr>
            <w:tcW w:w="900" w:type="dxa"/>
            <w:vAlign w:val="bottom"/>
            <w:tcBorders>
              <w:bottom w:val="single" w:sz="8" w:color="BCBEC0"/>
            </w:tcBorders>
          </w:tcPr>
          <w:p>
            <w:pPr>
              <w:spacing w:after="0"/>
              <w:rPr>
                <w:sz w:val="3"/>
                <w:szCs w:val="3"/>
                <w:color w:val="auto"/>
              </w:rPr>
            </w:pPr>
          </w:p>
        </w:tc>
        <w:tc>
          <w:tcPr>
            <w:tcW w:w="900" w:type="dxa"/>
            <w:vAlign w:val="bottom"/>
            <w:tcBorders>
              <w:bottom w:val="single" w:sz="8" w:color="BCBEC0"/>
            </w:tcBorders>
          </w:tcPr>
          <w:p>
            <w:pPr>
              <w:spacing w:after="0"/>
              <w:rPr>
                <w:sz w:val="3"/>
                <w:szCs w:val="3"/>
                <w:color w:val="auto"/>
              </w:rPr>
            </w:pPr>
          </w:p>
        </w:tc>
        <w:tc>
          <w:tcPr>
            <w:tcW w:w="1440" w:type="dxa"/>
            <w:vAlign w:val="bottom"/>
            <w:tcBorders>
              <w:bottom w:val="single" w:sz="8" w:color="BCBEC0"/>
            </w:tcBorders>
          </w:tcPr>
          <w:p>
            <w:pPr>
              <w:spacing w:after="0"/>
              <w:rPr>
                <w:sz w:val="3"/>
                <w:szCs w:val="3"/>
                <w:color w:val="auto"/>
              </w:rPr>
            </w:pPr>
          </w:p>
        </w:tc>
        <w:tc>
          <w:tcPr>
            <w:tcW w:w="1280" w:type="dxa"/>
            <w:vAlign w:val="bottom"/>
            <w:tcBorders>
              <w:bottom w:val="single" w:sz="8" w:color="BCBEC0"/>
            </w:tcBorders>
          </w:tcPr>
          <w:p>
            <w:pPr>
              <w:spacing w:after="0"/>
              <w:rPr>
                <w:sz w:val="3"/>
                <w:szCs w:val="3"/>
                <w:color w:val="auto"/>
              </w:rPr>
            </w:pPr>
          </w:p>
        </w:tc>
        <w:tc>
          <w:tcPr>
            <w:tcW w:w="1460" w:type="dxa"/>
            <w:vAlign w:val="bottom"/>
            <w:tcBorders>
              <w:bottom w:val="single" w:sz="8" w:color="BCBEC0"/>
            </w:tcBorders>
          </w:tcPr>
          <w:p>
            <w:pPr>
              <w:spacing w:after="0"/>
              <w:rPr>
                <w:sz w:val="3"/>
                <w:szCs w:val="3"/>
                <w:color w:val="auto"/>
              </w:rPr>
            </w:pPr>
          </w:p>
        </w:tc>
        <w:tc>
          <w:tcPr>
            <w:tcW w:w="940" w:type="dxa"/>
            <w:vAlign w:val="bottom"/>
            <w:tcBorders>
              <w:bottom w:val="single" w:sz="8" w:color="BCBEC0"/>
            </w:tcBorders>
          </w:tcPr>
          <w:p>
            <w:pPr>
              <w:spacing w:after="0"/>
              <w:rPr>
                <w:sz w:val="3"/>
                <w:szCs w:val="3"/>
                <w:color w:val="auto"/>
              </w:rPr>
            </w:pPr>
          </w:p>
        </w:tc>
        <w:tc>
          <w:tcPr>
            <w:tcW w:w="0" w:type="dxa"/>
            <w:vAlign w:val="bottom"/>
          </w:tcPr>
          <w:p>
            <w:pPr>
              <w:spacing w:after="0"/>
              <w:rPr>
                <w:sz w:val="1"/>
                <w:szCs w:val="1"/>
                <w:color w:val="auto"/>
              </w:rPr>
            </w:pPr>
          </w:p>
        </w:tc>
      </w:tr>
      <w:tr>
        <w:trPr>
          <w:trHeight w:val="101"/>
        </w:trPr>
        <w:tc>
          <w:tcPr>
            <w:tcW w:w="2080" w:type="dxa"/>
            <w:vAlign w:val="bottom"/>
            <w:vMerge w:val="continue"/>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Arial" w:cs="Arial" w:eastAsia="Arial" w:hAnsi="Arial"/>
                <w:sz w:val="16"/>
                <w:szCs w:val="16"/>
                <w:color w:val="auto"/>
              </w:rPr>
              <w:t>2024</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547,008</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880,788</w:t>
            </w: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275,015</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462,000</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104,045</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2,268,856</w:t>
            </w:r>
          </w:p>
        </w:tc>
        <w:tc>
          <w:tcPr>
            <w:tcW w:w="0" w:type="dxa"/>
            <w:vAlign w:val="bottom"/>
          </w:tcPr>
          <w:p>
            <w:pPr>
              <w:spacing w:after="0"/>
              <w:rPr>
                <w:sz w:val="1"/>
                <w:szCs w:val="1"/>
                <w:color w:val="auto"/>
              </w:rPr>
            </w:pPr>
          </w:p>
        </w:tc>
      </w:tr>
      <w:tr>
        <w:trPr>
          <w:trHeight w:val="141"/>
        </w:trPr>
        <w:tc>
          <w:tcPr>
            <w:tcW w:w="2080" w:type="dxa"/>
            <w:vAlign w:val="bottom"/>
            <w:vMerge w:val="restart"/>
          </w:tcPr>
          <w:p>
            <w:pPr>
              <w:ind w:left="60"/>
              <w:spacing w:after="0"/>
              <w:rPr>
                <w:sz w:val="20"/>
                <w:szCs w:val="20"/>
                <w:color w:val="auto"/>
              </w:rPr>
            </w:pPr>
            <w:r>
              <w:rPr>
                <w:rFonts w:ascii="Arial" w:cs="Arial" w:eastAsia="Arial" w:hAnsi="Arial"/>
                <w:sz w:val="16"/>
                <w:szCs w:val="16"/>
                <w:color w:val="auto"/>
              </w:rPr>
              <w:t>General Counsel and</w:t>
            </w:r>
          </w:p>
        </w:tc>
        <w:tc>
          <w:tcPr>
            <w:tcW w:w="540" w:type="dxa"/>
            <w:vAlign w:val="bottom"/>
            <w:tcBorders>
              <w:bottom w:val="single" w:sz="8" w:color="BCBEC0"/>
            </w:tcBorders>
            <w:vMerge w:val="continue"/>
          </w:tcPr>
          <w:p>
            <w:pPr>
              <w:spacing w:after="0"/>
              <w:rPr>
                <w:sz w:val="11"/>
                <w:szCs w:val="11"/>
                <w:color w:val="auto"/>
              </w:rPr>
            </w:pPr>
          </w:p>
        </w:tc>
        <w:tc>
          <w:tcPr>
            <w:tcW w:w="860" w:type="dxa"/>
            <w:vAlign w:val="bottom"/>
            <w:tcBorders>
              <w:bottom w:val="single" w:sz="8" w:color="BCBEC0"/>
            </w:tcBorders>
            <w:vMerge w:val="continue"/>
          </w:tcPr>
          <w:p>
            <w:pPr>
              <w:spacing w:after="0"/>
              <w:rPr>
                <w:sz w:val="11"/>
                <w:szCs w:val="11"/>
                <w:color w:val="auto"/>
              </w:rPr>
            </w:pPr>
          </w:p>
        </w:tc>
        <w:tc>
          <w:tcPr>
            <w:tcW w:w="840" w:type="dxa"/>
            <w:vAlign w:val="bottom"/>
            <w:tcBorders>
              <w:bottom w:val="single" w:sz="8" w:color="BCBEC0"/>
            </w:tcBorders>
            <w:vMerge w:val="continue"/>
          </w:tcPr>
          <w:p>
            <w:pPr>
              <w:spacing w:after="0"/>
              <w:rPr>
                <w:sz w:val="11"/>
                <w:szCs w:val="11"/>
                <w:color w:val="auto"/>
              </w:rPr>
            </w:pPr>
          </w:p>
        </w:tc>
        <w:tc>
          <w:tcPr>
            <w:tcW w:w="900" w:type="dxa"/>
            <w:vAlign w:val="bottom"/>
            <w:tcBorders>
              <w:bottom w:val="single" w:sz="8" w:color="BCBEC0"/>
            </w:tcBorders>
            <w:vMerge w:val="continue"/>
          </w:tcPr>
          <w:p>
            <w:pPr>
              <w:spacing w:after="0"/>
              <w:rPr>
                <w:sz w:val="11"/>
                <w:szCs w:val="11"/>
                <w:color w:val="auto"/>
              </w:rPr>
            </w:pPr>
          </w:p>
        </w:tc>
        <w:tc>
          <w:tcPr>
            <w:tcW w:w="900" w:type="dxa"/>
            <w:vAlign w:val="bottom"/>
            <w:tcBorders>
              <w:bottom w:val="single" w:sz="8" w:color="BCBEC0"/>
            </w:tcBorders>
            <w:vMerge w:val="continue"/>
          </w:tcPr>
          <w:p>
            <w:pPr>
              <w:spacing w:after="0"/>
              <w:rPr>
                <w:sz w:val="11"/>
                <w:szCs w:val="11"/>
                <w:color w:val="auto"/>
              </w:rPr>
            </w:pPr>
          </w:p>
        </w:tc>
        <w:tc>
          <w:tcPr>
            <w:tcW w:w="1440" w:type="dxa"/>
            <w:vAlign w:val="bottom"/>
            <w:tcBorders>
              <w:bottom w:val="single" w:sz="8" w:color="BCBEC0"/>
            </w:tcBorders>
            <w:vMerge w:val="continue"/>
          </w:tcPr>
          <w:p>
            <w:pPr>
              <w:spacing w:after="0"/>
              <w:rPr>
                <w:sz w:val="11"/>
                <w:szCs w:val="11"/>
                <w:color w:val="auto"/>
              </w:rPr>
            </w:pPr>
          </w:p>
        </w:tc>
        <w:tc>
          <w:tcPr>
            <w:tcW w:w="1280" w:type="dxa"/>
            <w:vAlign w:val="bottom"/>
            <w:tcBorders>
              <w:bottom w:val="single" w:sz="8" w:color="BCBEC0"/>
            </w:tcBorders>
            <w:vMerge w:val="continue"/>
          </w:tcPr>
          <w:p>
            <w:pPr>
              <w:spacing w:after="0"/>
              <w:rPr>
                <w:sz w:val="11"/>
                <w:szCs w:val="11"/>
                <w:color w:val="auto"/>
              </w:rPr>
            </w:pPr>
          </w:p>
        </w:tc>
        <w:tc>
          <w:tcPr>
            <w:tcW w:w="1460" w:type="dxa"/>
            <w:vAlign w:val="bottom"/>
            <w:tcBorders>
              <w:bottom w:val="single" w:sz="8" w:color="BCBEC0"/>
            </w:tcBorders>
            <w:vMerge w:val="continue"/>
          </w:tcPr>
          <w:p>
            <w:pPr>
              <w:spacing w:after="0"/>
              <w:rPr>
                <w:sz w:val="11"/>
                <w:szCs w:val="11"/>
                <w:color w:val="auto"/>
              </w:rPr>
            </w:pPr>
          </w:p>
        </w:tc>
        <w:tc>
          <w:tcPr>
            <w:tcW w:w="940" w:type="dxa"/>
            <w:vAlign w:val="bottom"/>
            <w:tcBorders>
              <w:bottom w:val="single" w:sz="8" w:color="BCBEC0"/>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8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8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Secretary</w:t>
            </w:r>
          </w:p>
        </w:tc>
        <w:tc>
          <w:tcPr>
            <w:tcW w:w="5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2023</w:t>
            </w:r>
          </w:p>
        </w:tc>
        <w:tc>
          <w:tcPr>
            <w:tcW w:w="8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526,923</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723,640</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237,456</w:t>
            </w:r>
          </w:p>
        </w:tc>
        <w:tc>
          <w:tcPr>
            <w:tcW w:w="14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735,400</w:t>
            </w:r>
          </w:p>
        </w:tc>
        <w:tc>
          <w:tcPr>
            <w:tcW w:w="12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90,117</w:t>
            </w:r>
          </w:p>
        </w:tc>
        <w:tc>
          <w:tcPr>
            <w:tcW w:w="9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2,313,536</w:t>
            </w:r>
          </w:p>
        </w:tc>
        <w:tc>
          <w:tcPr>
            <w:tcW w:w="0" w:type="dxa"/>
            <w:vAlign w:val="bottom"/>
          </w:tcPr>
          <w:p>
            <w:pPr>
              <w:spacing w:after="0"/>
              <w:rPr>
                <w:sz w:val="1"/>
                <w:szCs w:val="1"/>
                <w:color w:val="auto"/>
              </w:rPr>
            </w:pPr>
          </w:p>
        </w:tc>
      </w:tr>
    </w:tbl>
    <w:p>
      <w:pPr>
        <w:ind w:left="340" w:hanging="332"/>
        <w:spacing w:after="0" w:line="204" w:lineRule="auto"/>
        <w:tabs>
          <w:tab w:leader="none" w:pos="340" w:val="left"/>
        </w:tabs>
        <w:numPr>
          <w:ilvl w:val="0"/>
          <w:numId w:val="6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Mr. Sperry held the position of Chief Financial Officer until December 31, 2025.</w:t>
      </w:r>
    </w:p>
    <w:p>
      <w:pPr>
        <w:spacing w:after="0" w:line="40" w:lineRule="exact"/>
        <w:rPr>
          <w:rFonts w:ascii="Arial" w:cs="Arial" w:eastAsia="Arial" w:hAnsi="Arial"/>
          <w:sz w:val="24"/>
          <w:szCs w:val="24"/>
          <w:i w:val="1"/>
          <w:iCs w:val="1"/>
          <w:color w:val="auto"/>
          <w:vertAlign w:val="superscript"/>
        </w:rPr>
      </w:pPr>
    </w:p>
    <w:p>
      <w:pPr>
        <w:ind w:left="340" w:hanging="332"/>
        <w:spacing w:after="0" w:line="183" w:lineRule="auto"/>
        <w:tabs>
          <w:tab w:leader="none" w:pos="340" w:val="left"/>
        </w:tabs>
        <w:numPr>
          <w:ilvl w:val="0"/>
          <w:numId w:val="68"/>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The amount reported in the Bonus column reflects a one-time cash hiring bonus paid to Mr. Gumbs in 2023.</w:t>
      </w:r>
    </w:p>
    <w:p>
      <w:pPr>
        <w:spacing w:after="0" w:line="40" w:lineRule="exact"/>
        <w:rPr>
          <w:rFonts w:ascii="Arial" w:cs="Arial" w:eastAsia="Arial" w:hAnsi="Arial"/>
          <w:sz w:val="20"/>
          <w:szCs w:val="20"/>
          <w:i w:val="1"/>
          <w:iCs w:val="1"/>
          <w:color w:val="auto"/>
          <w:vertAlign w:val="superscript"/>
        </w:rPr>
      </w:pPr>
    </w:p>
    <w:p>
      <w:pPr>
        <w:jc w:val="both"/>
        <w:ind w:left="340" w:hanging="332"/>
        <w:spacing w:after="0" w:line="221" w:lineRule="auto"/>
        <w:tabs>
          <w:tab w:leader="none" w:pos="340" w:val="left"/>
        </w:tabs>
        <w:numPr>
          <w:ilvl w:val="0"/>
          <w:numId w:val="6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Stock Awards and Option Awards columns reflect the aggregate grant date fair value of restricted stock, performance shares, and SARs granted in 2025 as calculated in accordance with FASB ASC Topic 718. For a discussion of the assumptions made in the valuation, see Note 17 to the Consolidated Financial Statements for 2025 in the Form 10-K filed with the SEC on February 12, 2026. The actual value that an executive may realize from an award is contingent upon the satisfaction of the vesting conditions of the award. For SARs, the actual value of the award is based upon the positive difference between the base price and the market value of a share of Hubbell common stock on the date of exercise. Thus, there is no assurance that the value, if any, eventually realized by the NEO will correspond to the amount shown. For performance shares with a Relative Sales Growth performance metric, fair value is based upon the average between the high and low trading prices of Hubbell common stock on the date preceding the grant date and assumes that the award will vest at target.</w:t>
      </w:r>
    </w:p>
    <w:p>
      <w:pPr>
        <w:spacing w:after="0" w:line="32" w:lineRule="exact"/>
        <w:rPr>
          <w:rFonts w:ascii="Arial" w:cs="Arial" w:eastAsia="Arial" w:hAnsi="Arial"/>
          <w:sz w:val="24"/>
          <w:szCs w:val="24"/>
          <w:i w:val="1"/>
          <w:iCs w:val="1"/>
          <w:color w:val="auto"/>
          <w:vertAlign w:val="superscript"/>
        </w:rPr>
      </w:pPr>
    </w:p>
    <w:p>
      <w:pPr>
        <w:ind w:left="340" w:right="20" w:hanging="332"/>
        <w:spacing w:after="0" w:line="192" w:lineRule="auto"/>
        <w:tabs>
          <w:tab w:leader="none" w:pos="340" w:val="left"/>
        </w:tabs>
        <w:numPr>
          <w:ilvl w:val="0"/>
          <w:numId w:val="6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Non-Equity Incentive Plan Compensation column reflect short-term incentive awards earned under the Company’s Short-Term Incentive Plan. See the Short-Term Incentive Compensation section on pages 45-49.</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jc w:val="both"/>
        <w:ind w:left="340" w:hanging="332"/>
        <w:spacing w:after="0" w:line="226" w:lineRule="auto"/>
        <w:tabs>
          <w:tab w:leader="none" w:pos="340" w:val="left"/>
        </w:tabs>
        <w:numPr>
          <w:ilvl w:val="0"/>
          <w:numId w:val="69"/>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Change in Pension Value and Nonqualified Deferred Compensation Earnings column reflect the aggregate change in the actuarial present value of each NEO’s accumulated benefit under the retirement plans in which they participate. See the “Employee Benefit Programs” section on page 54 and “Non-Qualified Deferred Compensation” section on page 65. The present value of accrued benefits at December 31, 2023 is based on the Pri-2012 Healthy Annuitant Mortality White Collar Tables, sex distinct, with generational projection from 2012 using Scale MP-2021 and using a discount rate of 5.20%. The present value of accrued benefits at December 31, 2024 is based on the Pri-2012 Healthy Annuitant Mortality Tables, with generational projection from 2012 using Scale MP-2021 and using a discount rate of 5.60%. The present value of accrued benefits at December 31, 2025 is based on the Pri-2012 Healthy Annuitant Mortality Tables, with generational projection from 2012 using Scale MP-2021 and using a discount rate of 5.50%. Participants are assumed to retire at age 62 or current age, if later. No amounts accumulated under the Company’s EDCP and DC Restoration Plan earn above market or preferential earnings; therefore, no earnings are included in this column.</w:t>
      </w:r>
    </w:p>
    <w:p>
      <w:pPr>
        <w:spacing w:after="0" w:line="1" w:lineRule="exact"/>
        <w:rPr>
          <w:rFonts w:ascii="Arial" w:cs="Arial" w:eastAsia="Arial" w:hAnsi="Arial"/>
          <w:sz w:val="24"/>
          <w:szCs w:val="24"/>
          <w:i w:val="1"/>
          <w:iCs w:val="1"/>
          <w:color w:val="auto"/>
          <w:vertAlign w:val="superscript"/>
        </w:rPr>
      </w:pPr>
    </w:p>
    <w:p>
      <w:pPr>
        <w:ind w:left="340" w:hanging="332"/>
        <w:spacing w:after="0" w:line="187" w:lineRule="auto"/>
        <w:tabs>
          <w:tab w:leader="none" w:pos="340" w:val="left"/>
        </w:tabs>
        <w:numPr>
          <w:ilvl w:val="0"/>
          <w:numId w:val="69"/>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All Other Compensation column for 2025 are detailed in the following table:</w:t>
      </w:r>
    </w:p>
    <w:p>
      <w:pPr>
        <w:spacing w:after="0" w:line="15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80" w:type="dxa"/>
            <w:vAlign w:val="bottom"/>
            <w:shd w:val="clear" w:color="auto" w:fill="FFE933"/>
          </w:tcPr>
          <w:p>
            <w:pPr>
              <w:spacing w:after="0"/>
              <w:rPr>
                <w:sz w:val="14"/>
                <w:szCs w:val="14"/>
                <w:color w:val="auto"/>
              </w:rPr>
            </w:pPr>
          </w:p>
        </w:tc>
        <w:tc>
          <w:tcPr>
            <w:tcW w:w="4100" w:type="dxa"/>
            <w:vAlign w:val="bottom"/>
            <w:shd w:val="clear" w:color="auto" w:fill="FFE933"/>
          </w:tcPr>
          <w:p>
            <w:pPr>
              <w:spacing w:after="0"/>
              <w:rPr>
                <w:sz w:val="14"/>
                <w:szCs w:val="14"/>
                <w:color w:val="auto"/>
              </w:rPr>
            </w:pPr>
          </w:p>
        </w:tc>
        <w:tc>
          <w:tcPr>
            <w:tcW w:w="1520" w:type="dxa"/>
            <w:vAlign w:val="bottom"/>
            <w:shd w:val="clear" w:color="auto" w:fill="FFE933"/>
          </w:tcPr>
          <w:p>
            <w:pPr>
              <w:jc w:val="right"/>
              <w:ind w:right="148"/>
              <w:spacing w:after="0"/>
              <w:rPr>
                <w:sz w:val="20"/>
                <w:szCs w:val="20"/>
                <w:color w:val="auto"/>
              </w:rPr>
            </w:pPr>
            <w:r>
              <w:rPr>
                <w:rFonts w:ascii="Arial" w:cs="Arial" w:eastAsia="Arial" w:hAnsi="Arial"/>
                <w:sz w:val="14"/>
                <w:szCs w:val="14"/>
                <w:b w:val="1"/>
                <w:bCs w:val="1"/>
                <w:color w:val="auto"/>
              </w:rPr>
              <w:t>Retirement Plan</w:t>
            </w:r>
          </w:p>
        </w:tc>
        <w:tc>
          <w:tcPr>
            <w:tcW w:w="800" w:type="dxa"/>
            <w:vAlign w:val="bottom"/>
            <w:shd w:val="clear" w:color="auto" w:fill="FFE933"/>
          </w:tcPr>
          <w:p>
            <w:pPr>
              <w:spacing w:after="0"/>
              <w:rPr>
                <w:sz w:val="14"/>
                <w:szCs w:val="14"/>
                <w:color w:val="auto"/>
              </w:rPr>
            </w:pPr>
          </w:p>
        </w:tc>
      </w:tr>
      <w:tr>
        <w:trPr>
          <w:trHeight w:val="192"/>
        </w:trPr>
        <w:tc>
          <w:tcPr>
            <w:tcW w:w="4480" w:type="dxa"/>
            <w:vAlign w:val="bottom"/>
            <w:shd w:val="clear" w:color="auto" w:fill="FFE933"/>
          </w:tcPr>
          <w:p>
            <w:pPr>
              <w:spacing w:after="0"/>
              <w:rPr>
                <w:sz w:val="16"/>
                <w:szCs w:val="16"/>
                <w:color w:val="auto"/>
              </w:rPr>
            </w:pPr>
          </w:p>
        </w:tc>
        <w:tc>
          <w:tcPr>
            <w:tcW w:w="4100" w:type="dxa"/>
            <w:vAlign w:val="bottom"/>
            <w:shd w:val="clear" w:color="auto" w:fill="FFE933"/>
          </w:tcPr>
          <w:p>
            <w:pPr>
              <w:jc w:val="right"/>
              <w:ind w:right="148"/>
              <w:spacing w:after="0" w:line="192" w:lineRule="exact"/>
              <w:rPr>
                <w:sz w:val="20"/>
                <w:szCs w:val="20"/>
                <w:color w:val="auto"/>
              </w:rPr>
            </w:pPr>
            <w:r>
              <w:rPr>
                <w:rFonts w:ascii="Arial" w:cs="Arial" w:eastAsia="Arial" w:hAnsi="Arial"/>
                <w:sz w:val="14"/>
                <w:szCs w:val="14"/>
                <w:b w:val="1"/>
                <w:bCs w:val="1"/>
                <w:color w:val="auto"/>
              </w:rPr>
              <w:t>Perquisites</w:t>
            </w:r>
            <w:r>
              <w:rPr>
                <w:rFonts w:ascii="Arial" w:cs="Arial" w:eastAsia="Arial" w:hAnsi="Arial"/>
                <w:sz w:val="22"/>
                <w:szCs w:val="22"/>
                <w:b w:val="1"/>
                <w:bCs w:val="1"/>
                <w:color w:val="auto"/>
                <w:vertAlign w:val="superscript"/>
              </w:rPr>
              <w:t>(a)</w:t>
            </w:r>
          </w:p>
        </w:tc>
        <w:tc>
          <w:tcPr>
            <w:tcW w:w="1520" w:type="dxa"/>
            <w:vAlign w:val="bottom"/>
            <w:shd w:val="clear" w:color="auto" w:fill="FFE933"/>
          </w:tcPr>
          <w:p>
            <w:pPr>
              <w:jc w:val="right"/>
              <w:ind w:right="148"/>
              <w:spacing w:after="0" w:line="192" w:lineRule="exact"/>
              <w:rPr>
                <w:sz w:val="20"/>
                <w:szCs w:val="20"/>
                <w:color w:val="auto"/>
              </w:rPr>
            </w:pPr>
            <w:r>
              <w:rPr>
                <w:rFonts w:ascii="Arial" w:cs="Arial" w:eastAsia="Arial" w:hAnsi="Arial"/>
                <w:sz w:val="14"/>
                <w:szCs w:val="14"/>
                <w:b w:val="1"/>
                <w:bCs w:val="1"/>
                <w:color w:val="auto"/>
              </w:rPr>
              <w:t>Contributions</w:t>
            </w:r>
            <w:r>
              <w:rPr>
                <w:rFonts w:ascii="Arial" w:cs="Arial" w:eastAsia="Arial" w:hAnsi="Arial"/>
                <w:sz w:val="22"/>
                <w:szCs w:val="22"/>
                <w:b w:val="1"/>
                <w:bCs w:val="1"/>
                <w:color w:val="auto"/>
                <w:vertAlign w:val="superscript"/>
              </w:rPr>
              <w:t>(b)</w:t>
            </w:r>
          </w:p>
        </w:tc>
        <w:tc>
          <w:tcPr>
            <w:tcW w:w="800" w:type="dxa"/>
            <w:vAlign w:val="bottom"/>
            <w:shd w:val="clear" w:color="auto" w:fill="FFE933"/>
          </w:tcPr>
          <w:p>
            <w:pPr>
              <w:jc w:val="right"/>
              <w:spacing w:after="0"/>
              <w:rPr>
                <w:sz w:val="20"/>
                <w:szCs w:val="20"/>
                <w:color w:val="auto"/>
              </w:rPr>
            </w:pPr>
            <w:r>
              <w:rPr>
                <w:rFonts w:ascii="Arial" w:cs="Arial" w:eastAsia="Arial" w:hAnsi="Arial"/>
                <w:sz w:val="14"/>
                <w:szCs w:val="14"/>
                <w:b w:val="1"/>
                <w:bCs w:val="1"/>
                <w:color w:val="auto"/>
              </w:rPr>
              <w:t>Total</w:t>
            </w:r>
          </w:p>
        </w:tc>
      </w:tr>
      <w:tr>
        <w:trPr>
          <w:trHeight w:val="171"/>
        </w:trPr>
        <w:tc>
          <w:tcPr>
            <w:tcW w:w="4480" w:type="dxa"/>
            <w:vAlign w:val="bottom"/>
            <w:shd w:val="clear" w:color="auto" w:fill="FFE933"/>
          </w:tcPr>
          <w:p>
            <w:pPr>
              <w:ind w:left="40"/>
              <w:spacing w:after="0"/>
              <w:rPr>
                <w:sz w:val="20"/>
                <w:szCs w:val="20"/>
                <w:color w:val="auto"/>
              </w:rPr>
            </w:pPr>
            <w:r>
              <w:rPr>
                <w:rFonts w:ascii="Arial" w:cs="Arial" w:eastAsia="Arial" w:hAnsi="Arial"/>
                <w:sz w:val="14"/>
                <w:szCs w:val="14"/>
                <w:b w:val="1"/>
                <w:bCs w:val="1"/>
                <w:color w:val="auto"/>
              </w:rPr>
              <w:t>Name</w:t>
            </w:r>
          </w:p>
        </w:tc>
        <w:tc>
          <w:tcPr>
            <w:tcW w:w="4100" w:type="dxa"/>
            <w:vAlign w:val="bottom"/>
            <w:shd w:val="clear" w:color="auto" w:fill="FFE933"/>
          </w:tcPr>
          <w:p>
            <w:pPr>
              <w:jc w:val="right"/>
              <w:ind w:right="148"/>
              <w:spacing w:after="0"/>
              <w:rPr>
                <w:sz w:val="20"/>
                <w:szCs w:val="20"/>
                <w:color w:val="auto"/>
              </w:rPr>
            </w:pPr>
            <w:r>
              <w:rPr>
                <w:rFonts w:ascii="Arial" w:cs="Arial" w:eastAsia="Arial" w:hAnsi="Arial"/>
                <w:sz w:val="14"/>
                <w:szCs w:val="14"/>
                <w:b w:val="1"/>
                <w:bCs w:val="1"/>
                <w:color w:val="auto"/>
              </w:rPr>
              <w:t>($)</w:t>
            </w:r>
          </w:p>
        </w:tc>
        <w:tc>
          <w:tcPr>
            <w:tcW w:w="1520" w:type="dxa"/>
            <w:vAlign w:val="bottom"/>
            <w:shd w:val="clear" w:color="auto" w:fill="FFE933"/>
          </w:tcPr>
          <w:p>
            <w:pPr>
              <w:jc w:val="right"/>
              <w:ind w:right="1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FFE933"/>
          </w:tcPr>
          <w:p>
            <w:pPr>
              <w:jc w:val="right"/>
              <w:spacing w:after="0"/>
              <w:rPr>
                <w:sz w:val="20"/>
                <w:szCs w:val="20"/>
                <w:color w:val="auto"/>
              </w:rPr>
            </w:pPr>
            <w:r>
              <w:rPr>
                <w:rFonts w:ascii="Arial" w:cs="Arial" w:eastAsia="Arial" w:hAnsi="Arial"/>
                <w:sz w:val="14"/>
                <w:szCs w:val="14"/>
                <w:b w:val="1"/>
                <w:bCs w:val="1"/>
                <w:color w:val="auto"/>
              </w:rPr>
              <w:t>($)</w:t>
            </w:r>
          </w:p>
        </w:tc>
      </w:tr>
      <w:tr>
        <w:trPr>
          <w:trHeight w:val="162"/>
        </w:trPr>
        <w:tc>
          <w:tcPr>
            <w:tcW w:w="4480" w:type="dxa"/>
            <w:vAlign w:val="bottom"/>
            <w:tcBorders>
              <w:bottom w:val="single" w:sz="8" w:color="BCBEC0"/>
            </w:tcBorders>
          </w:tcPr>
          <w:p>
            <w:pPr>
              <w:ind w:left="40"/>
              <w:spacing w:after="0"/>
              <w:rPr>
                <w:sz w:val="20"/>
                <w:szCs w:val="20"/>
                <w:color w:val="auto"/>
              </w:rPr>
            </w:pPr>
            <w:r>
              <w:rPr>
                <w:rFonts w:ascii="Arial" w:cs="Arial" w:eastAsia="Arial" w:hAnsi="Arial"/>
                <w:sz w:val="14"/>
                <w:szCs w:val="14"/>
                <w:b w:val="1"/>
                <w:bCs w:val="1"/>
                <w:color w:val="auto"/>
              </w:rPr>
              <w:t>GERBEN W. BAKKER</w:t>
            </w:r>
          </w:p>
        </w:tc>
        <w:tc>
          <w:tcPr>
            <w:tcW w:w="4100" w:type="dxa"/>
            <w:vAlign w:val="bottom"/>
            <w:tcBorders>
              <w:bottom w:val="single" w:sz="8" w:color="BCBEC0"/>
            </w:tcBorders>
          </w:tcPr>
          <w:p>
            <w:pPr>
              <w:jc w:val="right"/>
              <w:ind w:right="148"/>
              <w:spacing w:after="0"/>
              <w:rPr>
                <w:sz w:val="20"/>
                <w:szCs w:val="20"/>
                <w:color w:val="auto"/>
              </w:rPr>
            </w:pPr>
            <w:r>
              <w:rPr>
                <w:rFonts w:ascii="Arial" w:cs="Arial" w:eastAsia="Arial" w:hAnsi="Arial"/>
                <w:sz w:val="14"/>
                <w:szCs w:val="14"/>
                <w:color w:val="auto"/>
              </w:rPr>
              <w:t>34,705</w:t>
            </w:r>
          </w:p>
        </w:tc>
        <w:tc>
          <w:tcPr>
            <w:tcW w:w="1520" w:type="dxa"/>
            <w:vAlign w:val="bottom"/>
            <w:tcBorders>
              <w:bottom w:val="single" w:sz="8" w:color="BCBEC0"/>
            </w:tcBorders>
          </w:tcPr>
          <w:p>
            <w:pPr>
              <w:jc w:val="right"/>
              <w:ind w:right="148"/>
              <w:spacing w:after="0"/>
              <w:rPr>
                <w:sz w:val="20"/>
                <w:szCs w:val="20"/>
                <w:color w:val="auto"/>
              </w:rPr>
            </w:pPr>
            <w:r>
              <w:rPr>
                <w:rFonts w:ascii="Arial" w:cs="Arial" w:eastAsia="Arial" w:hAnsi="Arial"/>
                <w:sz w:val="14"/>
                <w:szCs w:val="14"/>
                <w:color w:val="auto"/>
              </w:rPr>
              <w:t>191,025</w:t>
            </w:r>
          </w:p>
        </w:tc>
        <w:tc>
          <w:tcPr>
            <w:tcW w:w="8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225,730</w:t>
            </w:r>
          </w:p>
        </w:tc>
      </w:tr>
      <w:tr>
        <w:trPr>
          <w:trHeight w:val="156"/>
        </w:trPr>
        <w:tc>
          <w:tcPr>
            <w:tcW w:w="4480" w:type="dxa"/>
            <w:vAlign w:val="bottom"/>
            <w:tcBorders>
              <w:bottom w:val="single" w:sz="8" w:color="BCBEC0"/>
            </w:tcBorders>
          </w:tcPr>
          <w:p>
            <w:pPr>
              <w:ind w:left="40"/>
              <w:spacing w:after="0" w:line="155" w:lineRule="exact"/>
              <w:rPr>
                <w:sz w:val="20"/>
                <w:szCs w:val="20"/>
                <w:color w:val="auto"/>
              </w:rPr>
            </w:pPr>
            <w:r>
              <w:rPr>
                <w:rFonts w:ascii="Arial" w:cs="Arial" w:eastAsia="Arial" w:hAnsi="Arial"/>
                <w:sz w:val="14"/>
                <w:szCs w:val="14"/>
                <w:b w:val="1"/>
                <w:bCs w:val="1"/>
                <w:color w:val="auto"/>
              </w:rPr>
              <w:t>WILLIAM R. SPERRY</w:t>
            </w:r>
          </w:p>
        </w:tc>
        <w:tc>
          <w:tcPr>
            <w:tcW w:w="410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10,000</w:t>
            </w:r>
          </w:p>
        </w:tc>
        <w:tc>
          <w:tcPr>
            <w:tcW w:w="152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101,473</w:t>
            </w:r>
          </w:p>
        </w:tc>
        <w:tc>
          <w:tcPr>
            <w:tcW w:w="800" w:type="dxa"/>
            <w:vAlign w:val="bottom"/>
            <w:tcBorders>
              <w:bottom w:val="single" w:sz="8" w:color="BCBEC0"/>
            </w:tcBorders>
          </w:tcPr>
          <w:p>
            <w:pPr>
              <w:jc w:val="right"/>
              <w:spacing w:after="0" w:line="155" w:lineRule="exact"/>
              <w:rPr>
                <w:sz w:val="20"/>
                <w:szCs w:val="20"/>
                <w:color w:val="auto"/>
              </w:rPr>
            </w:pPr>
            <w:r>
              <w:rPr>
                <w:rFonts w:ascii="Arial" w:cs="Arial" w:eastAsia="Arial" w:hAnsi="Arial"/>
                <w:sz w:val="14"/>
                <w:szCs w:val="14"/>
                <w:color w:val="auto"/>
              </w:rPr>
              <w:t>111,473</w:t>
            </w:r>
          </w:p>
        </w:tc>
      </w:tr>
      <w:tr>
        <w:trPr>
          <w:trHeight w:val="155"/>
        </w:trPr>
        <w:tc>
          <w:tcPr>
            <w:tcW w:w="4480" w:type="dxa"/>
            <w:vAlign w:val="bottom"/>
            <w:tcBorders>
              <w:bottom w:val="single" w:sz="8" w:color="BCBEC0"/>
            </w:tcBorders>
          </w:tcPr>
          <w:p>
            <w:pPr>
              <w:ind w:left="40"/>
              <w:spacing w:after="0" w:line="155" w:lineRule="exact"/>
              <w:rPr>
                <w:sz w:val="20"/>
                <w:szCs w:val="20"/>
                <w:color w:val="auto"/>
              </w:rPr>
            </w:pPr>
            <w:r>
              <w:rPr>
                <w:rFonts w:ascii="Arial" w:cs="Arial" w:eastAsia="Arial" w:hAnsi="Arial"/>
                <w:sz w:val="14"/>
                <w:szCs w:val="14"/>
                <w:b w:val="1"/>
                <w:bCs w:val="1"/>
                <w:color w:val="auto"/>
              </w:rPr>
              <w:t>MARK E. MIKES</w:t>
            </w:r>
          </w:p>
        </w:tc>
        <w:tc>
          <w:tcPr>
            <w:tcW w:w="410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10,000</w:t>
            </w:r>
          </w:p>
        </w:tc>
        <w:tc>
          <w:tcPr>
            <w:tcW w:w="152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62,744</w:t>
            </w:r>
          </w:p>
        </w:tc>
        <w:tc>
          <w:tcPr>
            <w:tcW w:w="800" w:type="dxa"/>
            <w:vAlign w:val="bottom"/>
            <w:tcBorders>
              <w:bottom w:val="single" w:sz="8" w:color="BCBEC0"/>
            </w:tcBorders>
          </w:tcPr>
          <w:p>
            <w:pPr>
              <w:jc w:val="right"/>
              <w:spacing w:after="0" w:line="155" w:lineRule="exact"/>
              <w:rPr>
                <w:sz w:val="20"/>
                <w:szCs w:val="20"/>
                <w:color w:val="auto"/>
              </w:rPr>
            </w:pPr>
            <w:r>
              <w:rPr>
                <w:rFonts w:ascii="Arial" w:cs="Arial" w:eastAsia="Arial" w:hAnsi="Arial"/>
                <w:sz w:val="14"/>
                <w:szCs w:val="14"/>
                <w:color w:val="auto"/>
              </w:rPr>
              <w:t>72,744</w:t>
            </w:r>
          </w:p>
        </w:tc>
      </w:tr>
      <w:tr>
        <w:trPr>
          <w:trHeight w:val="156"/>
        </w:trPr>
        <w:tc>
          <w:tcPr>
            <w:tcW w:w="4480" w:type="dxa"/>
            <w:vAlign w:val="bottom"/>
            <w:tcBorders>
              <w:bottom w:val="single" w:sz="8" w:color="BCBEC0"/>
            </w:tcBorders>
          </w:tcPr>
          <w:p>
            <w:pPr>
              <w:ind w:left="40"/>
              <w:spacing w:after="0" w:line="155" w:lineRule="exact"/>
              <w:rPr>
                <w:sz w:val="20"/>
                <w:szCs w:val="20"/>
                <w:color w:val="auto"/>
              </w:rPr>
            </w:pPr>
            <w:r>
              <w:rPr>
                <w:rFonts w:ascii="Arial" w:cs="Arial" w:eastAsia="Arial" w:hAnsi="Arial"/>
                <w:sz w:val="14"/>
                <w:szCs w:val="14"/>
                <w:b w:val="1"/>
                <w:bCs w:val="1"/>
                <w:color w:val="auto"/>
              </w:rPr>
              <w:t>GREGORY A. GUMBS</w:t>
            </w:r>
          </w:p>
        </w:tc>
        <w:tc>
          <w:tcPr>
            <w:tcW w:w="410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10,000</w:t>
            </w:r>
          </w:p>
        </w:tc>
        <w:tc>
          <w:tcPr>
            <w:tcW w:w="152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78,046</w:t>
            </w:r>
          </w:p>
        </w:tc>
        <w:tc>
          <w:tcPr>
            <w:tcW w:w="800" w:type="dxa"/>
            <w:vAlign w:val="bottom"/>
            <w:tcBorders>
              <w:bottom w:val="single" w:sz="8" w:color="BCBEC0"/>
            </w:tcBorders>
          </w:tcPr>
          <w:p>
            <w:pPr>
              <w:jc w:val="right"/>
              <w:spacing w:after="0" w:line="155" w:lineRule="exact"/>
              <w:rPr>
                <w:sz w:val="20"/>
                <w:szCs w:val="20"/>
                <w:color w:val="auto"/>
              </w:rPr>
            </w:pPr>
            <w:r>
              <w:rPr>
                <w:rFonts w:ascii="Arial" w:cs="Arial" w:eastAsia="Arial" w:hAnsi="Arial"/>
                <w:sz w:val="14"/>
                <w:szCs w:val="14"/>
                <w:color w:val="auto"/>
              </w:rPr>
              <w:t>88,046</w:t>
            </w:r>
          </w:p>
        </w:tc>
      </w:tr>
      <w:tr>
        <w:trPr>
          <w:trHeight w:val="156"/>
        </w:trPr>
        <w:tc>
          <w:tcPr>
            <w:tcW w:w="4480" w:type="dxa"/>
            <w:vAlign w:val="bottom"/>
            <w:tcBorders>
              <w:bottom w:val="single" w:sz="8" w:color="BCBEC0"/>
            </w:tcBorders>
          </w:tcPr>
          <w:p>
            <w:pPr>
              <w:ind w:left="40"/>
              <w:spacing w:after="0" w:line="155" w:lineRule="exact"/>
              <w:rPr>
                <w:sz w:val="20"/>
                <w:szCs w:val="20"/>
                <w:color w:val="auto"/>
              </w:rPr>
            </w:pPr>
            <w:r>
              <w:rPr>
                <w:rFonts w:ascii="Arial" w:cs="Arial" w:eastAsia="Arial" w:hAnsi="Arial"/>
                <w:sz w:val="14"/>
                <w:szCs w:val="14"/>
                <w:b w:val="1"/>
                <w:bCs w:val="1"/>
                <w:color w:val="auto"/>
              </w:rPr>
              <w:t>KATHERINE A. LANE</w:t>
            </w:r>
          </w:p>
        </w:tc>
        <w:tc>
          <w:tcPr>
            <w:tcW w:w="410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16,727</w:t>
            </w:r>
          </w:p>
        </w:tc>
        <w:tc>
          <w:tcPr>
            <w:tcW w:w="1520" w:type="dxa"/>
            <w:vAlign w:val="bottom"/>
            <w:tcBorders>
              <w:bottom w:val="single" w:sz="8" w:color="BCBEC0"/>
            </w:tcBorders>
          </w:tcPr>
          <w:p>
            <w:pPr>
              <w:jc w:val="right"/>
              <w:ind w:right="148"/>
              <w:spacing w:after="0" w:line="155" w:lineRule="exact"/>
              <w:rPr>
                <w:sz w:val="20"/>
                <w:szCs w:val="20"/>
                <w:color w:val="auto"/>
              </w:rPr>
            </w:pPr>
            <w:r>
              <w:rPr>
                <w:rFonts w:ascii="Arial" w:cs="Arial" w:eastAsia="Arial" w:hAnsi="Arial"/>
                <w:sz w:val="14"/>
                <w:szCs w:val="14"/>
                <w:color w:val="auto"/>
              </w:rPr>
              <w:t>72,322</w:t>
            </w:r>
          </w:p>
        </w:tc>
        <w:tc>
          <w:tcPr>
            <w:tcW w:w="800" w:type="dxa"/>
            <w:vAlign w:val="bottom"/>
            <w:tcBorders>
              <w:bottom w:val="single" w:sz="8" w:color="BCBEC0"/>
            </w:tcBorders>
          </w:tcPr>
          <w:p>
            <w:pPr>
              <w:jc w:val="right"/>
              <w:spacing w:after="0" w:line="155" w:lineRule="exact"/>
              <w:rPr>
                <w:sz w:val="20"/>
                <w:szCs w:val="20"/>
                <w:color w:val="auto"/>
              </w:rPr>
            </w:pPr>
            <w:r>
              <w:rPr>
                <w:rFonts w:ascii="Arial" w:cs="Arial" w:eastAsia="Arial" w:hAnsi="Arial"/>
                <w:sz w:val="14"/>
                <w:szCs w:val="14"/>
                <w:color w:val="auto"/>
              </w:rPr>
              <w:t>89,049</w:t>
            </w:r>
          </w:p>
        </w:tc>
      </w:tr>
    </w:tbl>
    <w:p>
      <w:pPr>
        <w:spacing w:after="0" w:line="47" w:lineRule="exact"/>
        <w:rPr>
          <w:sz w:val="20"/>
          <w:szCs w:val="20"/>
          <w:color w:val="auto"/>
        </w:rPr>
      </w:pPr>
    </w:p>
    <w:p>
      <w:pPr>
        <w:jc w:val="both"/>
        <w:ind w:left="660" w:hanging="328"/>
        <w:spacing w:after="0" w:line="205" w:lineRule="auto"/>
        <w:tabs>
          <w:tab w:leader="none" w:pos="660" w:val="left"/>
        </w:tabs>
        <w:numPr>
          <w:ilvl w:val="0"/>
          <w:numId w:val="7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in the Perquisites column reflect the incremental cost to the Company of financial planning or tax preparation services up to a maximum of $10,000 for each NEO through 2025; the matching gifts made by The Hubbell Foundation for Ms. Lane - $16,727; and personal use of the Company aircraft for Mr. Bakker - $24,705, which includes fuel costs, crew expenses, and landing, hangar, airplane parking, ramp, and maintenance fees.</w:t>
      </w:r>
    </w:p>
    <w:p>
      <w:pPr>
        <w:spacing w:after="0" w:line="29" w:lineRule="exact"/>
        <w:rPr>
          <w:rFonts w:ascii="Arial" w:cs="Arial" w:eastAsia="Arial" w:hAnsi="Arial"/>
          <w:sz w:val="24"/>
          <w:szCs w:val="24"/>
          <w:i w:val="1"/>
          <w:iCs w:val="1"/>
          <w:color w:val="auto"/>
          <w:vertAlign w:val="superscript"/>
        </w:rPr>
      </w:pPr>
    </w:p>
    <w:p>
      <w:pPr>
        <w:jc w:val="both"/>
        <w:ind w:left="660" w:hanging="328"/>
        <w:spacing w:after="0" w:line="218" w:lineRule="auto"/>
        <w:tabs>
          <w:tab w:leader="none" w:pos="660" w:val="left"/>
        </w:tabs>
        <w:numPr>
          <w:ilvl w:val="0"/>
          <w:numId w:val="7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in the Retirement Plan Contributions column reflect Company 401(k) matching contributions of $10,500 for each NEO; and an automatic Company retirement contribution of $14,000 for each NEO under the DC Plan. This column also includes the following Company retirement contributions earned under the DC Restoration Plan in 2025 to be contributed in 2026 for: Mr. Bakker - $95,157, Mr. Sperry - $45,776, Mr. Mikes - $33,601, Mr. Gumbs - $30,598, and Ms. Lane - $27,327. This column also includes the following restoration match contributions under the DC Restoration Plan earned in 2025 and to be contributed in 2026 for: Mr. Bakker - $71,368 Mr. Sperry - $31,197, Mr. Mikes $4,643, Mr. Gumbs - $22,948, and Ms. Lane - $20,495.</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58</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Other Compensation Tables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Grants of Plan-Based Awards in Fiscal Year 2025</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information concerning plan-based awards granted in 2025 to the NEOs under the Company’s Incentive Plan and Equity Plan.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All stock awards are payable in shares of Hubbell common stock.</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000" w:type="dxa"/>
            <w:vAlign w:val="bottom"/>
            <w:tcBorders>
              <w:top w:val="single" w:sz="8" w:color="FFE933"/>
            </w:tcBorders>
            <w:shd w:val="clear" w:color="auto" w:fill="F1F2F2"/>
          </w:tcPr>
          <w:p>
            <w:pPr>
              <w:spacing w:after="0"/>
              <w:rPr>
                <w:sz w:val="24"/>
                <w:szCs w:val="24"/>
                <w:color w:val="auto"/>
              </w:rPr>
            </w:pPr>
          </w:p>
        </w:tc>
        <w:tc>
          <w:tcPr>
            <w:tcW w:w="120" w:type="dxa"/>
            <w:vAlign w:val="bottom"/>
            <w:tcBorders>
              <w:top w:val="single" w:sz="8" w:color="FFE933"/>
            </w:tcBorders>
            <w:shd w:val="clear" w:color="auto" w:fill="F1F2F2"/>
          </w:tcPr>
          <w:p>
            <w:pPr>
              <w:spacing w:after="0"/>
              <w:rPr>
                <w:sz w:val="24"/>
                <w:szCs w:val="24"/>
                <w:color w:val="auto"/>
              </w:rPr>
            </w:pPr>
          </w:p>
        </w:tc>
        <w:tc>
          <w:tcPr>
            <w:tcW w:w="800" w:type="dxa"/>
            <w:vAlign w:val="bottom"/>
            <w:tcBorders>
              <w:top w:val="single" w:sz="8" w:color="FFE933"/>
            </w:tcBorders>
            <w:shd w:val="clear" w:color="auto" w:fill="F1F2F2"/>
          </w:tcPr>
          <w:p>
            <w:pPr>
              <w:spacing w:after="0"/>
              <w:rPr>
                <w:sz w:val="24"/>
                <w:szCs w:val="24"/>
                <w:color w:val="auto"/>
              </w:rPr>
            </w:pPr>
          </w:p>
        </w:tc>
        <w:tc>
          <w:tcPr>
            <w:tcW w:w="740" w:type="dxa"/>
            <w:vAlign w:val="bottom"/>
            <w:tcBorders>
              <w:top w:val="single" w:sz="8" w:color="FFE933"/>
            </w:tcBorders>
            <w:shd w:val="clear" w:color="auto" w:fill="F1F2F2"/>
          </w:tcPr>
          <w:p>
            <w:pPr>
              <w:spacing w:after="0"/>
              <w:rPr>
                <w:sz w:val="24"/>
                <w:szCs w:val="24"/>
                <w:color w:val="auto"/>
              </w:rPr>
            </w:pPr>
          </w:p>
        </w:tc>
        <w:tc>
          <w:tcPr>
            <w:tcW w:w="840" w:type="dxa"/>
            <w:vAlign w:val="bottom"/>
            <w:tcBorders>
              <w:top w:val="single" w:sz="8" w:color="FFE933"/>
            </w:tcBorders>
            <w:shd w:val="clear" w:color="auto" w:fill="F1F2F2"/>
          </w:tcPr>
          <w:p>
            <w:pPr>
              <w:spacing w:after="0"/>
              <w:rPr>
                <w:sz w:val="24"/>
                <w:szCs w:val="24"/>
                <w:color w:val="auto"/>
              </w:rPr>
            </w:pPr>
          </w:p>
        </w:tc>
        <w:tc>
          <w:tcPr>
            <w:tcW w:w="880" w:type="dxa"/>
            <w:vAlign w:val="bottom"/>
            <w:tcBorders>
              <w:top w:val="single" w:sz="8" w:color="FFE933"/>
            </w:tcBorders>
            <w:shd w:val="clear" w:color="auto" w:fill="F1F2F2"/>
          </w:tcPr>
          <w:p>
            <w:pPr>
              <w:spacing w:after="0"/>
              <w:rPr>
                <w:sz w:val="24"/>
                <w:szCs w:val="24"/>
                <w:color w:val="auto"/>
              </w:rPr>
            </w:pPr>
          </w:p>
        </w:tc>
        <w:tc>
          <w:tcPr>
            <w:tcW w:w="780" w:type="dxa"/>
            <w:vAlign w:val="bottom"/>
            <w:tcBorders>
              <w:top w:val="single" w:sz="8" w:color="FFE933"/>
            </w:tcBorders>
            <w:shd w:val="clear" w:color="auto" w:fill="F1F2F2"/>
          </w:tcPr>
          <w:p>
            <w:pPr>
              <w:spacing w:after="0"/>
              <w:rPr>
                <w:sz w:val="24"/>
                <w:szCs w:val="24"/>
                <w:color w:val="auto"/>
              </w:rPr>
            </w:pPr>
          </w:p>
        </w:tc>
        <w:tc>
          <w:tcPr>
            <w:tcW w:w="120" w:type="dxa"/>
            <w:vAlign w:val="bottom"/>
            <w:tcBorders>
              <w:top w:val="single" w:sz="8" w:color="FFE933"/>
            </w:tcBorders>
            <w:shd w:val="clear" w:color="auto" w:fill="F1F2F2"/>
          </w:tcPr>
          <w:p>
            <w:pPr>
              <w:spacing w:after="0"/>
              <w:rPr>
                <w:sz w:val="24"/>
                <w:szCs w:val="24"/>
                <w:color w:val="auto"/>
              </w:rPr>
            </w:pPr>
          </w:p>
        </w:tc>
        <w:tc>
          <w:tcPr>
            <w:tcW w:w="2160" w:type="dxa"/>
            <w:vAlign w:val="bottom"/>
            <w:tcBorders>
              <w:top w:val="single" w:sz="8" w:color="FFE933"/>
            </w:tcBorders>
            <w:gridSpan w:val="4"/>
            <w:vMerge w:val="restart"/>
            <w:shd w:val="clear" w:color="auto" w:fill="F1F2F2"/>
          </w:tcPr>
          <w:p>
            <w:pPr>
              <w:jc w:val="center"/>
              <w:ind w:right="120"/>
              <w:spacing w:after="0"/>
              <w:rPr>
                <w:sz w:val="20"/>
                <w:szCs w:val="20"/>
                <w:color w:val="auto"/>
              </w:rPr>
            </w:pPr>
            <w:r>
              <w:rPr>
                <w:rFonts w:ascii="Arial" w:cs="Arial" w:eastAsia="Arial" w:hAnsi="Arial"/>
                <w:sz w:val="16"/>
                <w:szCs w:val="16"/>
                <w:b w:val="1"/>
                <w:bCs w:val="1"/>
                <w:color w:val="auto"/>
              </w:rPr>
              <w:t>Estimated Future</w:t>
            </w:r>
          </w:p>
        </w:tc>
        <w:tc>
          <w:tcPr>
            <w:tcW w:w="920" w:type="dxa"/>
            <w:vAlign w:val="bottom"/>
            <w:tcBorders>
              <w:top w:val="single" w:sz="8" w:color="FFE933"/>
            </w:tcBorders>
            <w:shd w:val="clear" w:color="auto" w:fill="F1F2F2"/>
          </w:tcPr>
          <w:p>
            <w:pPr>
              <w:jc w:val="right"/>
              <w:spacing w:after="0"/>
              <w:rPr>
                <w:sz w:val="20"/>
                <w:szCs w:val="20"/>
                <w:color w:val="auto"/>
              </w:rPr>
            </w:pPr>
            <w:r>
              <w:rPr>
                <w:rFonts w:ascii="Arial" w:cs="Arial" w:eastAsia="Arial" w:hAnsi="Arial"/>
                <w:sz w:val="16"/>
                <w:szCs w:val="16"/>
                <w:b w:val="1"/>
                <w:bCs w:val="1"/>
                <w:color w:val="auto"/>
              </w:rPr>
              <w:t>All Other</w:t>
            </w:r>
          </w:p>
        </w:tc>
        <w:tc>
          <w:tcPr>
            <w:tcW w:w="1020" w:type="dxa"/>
            <w:vAlign w:val="bottom"/>
            <w:tcBorders>
              <w:top w:val="single" w:sz="8" w:color="FFE933"/>
            </w:tcBorders>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All Other</w:t>
            </w:r>
          </w:p>
        </w:tc>
        <w:tc>
          <w:tcPr>
            <w:tcW w:w="920" w:type="dxa"/>
            <w:vAlign w:val="bottom"/>
            <w:tcBorders>
              <w:top w:val="single" w:sz="8" w:color="FFE933"/>
            </w:tcBorders>
            <w:shd w:val="clear" w:color="auto" w:fill="F1F2F2"/>
          </w:tcPr>
          <w:p>
            <w:pPr>
              <w:spacing w:after="0"/>
              <w:rPr>
                <w:sz w:val="24"/>
                <w:szCs w:val="24"/>
                <w:color w:val="auto"/>
              </w:rPr>
            </w:pPr>
          </w:p>
        </w:tc>
        <w:tc>
          <w:tcPr>
            <w:tcW w:w="940" w:type="dxa"/>
            <w:vAlign w:val="bottom"/>
            <w:tcBorders>
              <w:top w:val="single" w:sz="8" w:color="FFE933"/>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00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800" w:type="dxa"/>
            <w:vAlign w:val="bottom"/>
            <w:shd w:val="clear" w:color="auto" w:fill="F1F2F2"/>
          </w:tcPr>
          <w:p>
            <w:pPr>
              <w:spacing w:after="0"/>
              <w:rPr>
                <w:sz w:val="9"/>
                <w:szCs w:val="9"/>
                <w:color w:val="auto"/>
              </w:rPr>
            </w:pPr>
          </w:p>
        </w:tc>
        <w:tc>
          <w:tcPr>
            <w:tcW w:w="740" w:type="dxa"/>
            <w:vAlign w:val="bottom"/>
            <w:shd w:val="clear" w:color="auto" w:fill="F1F2F2"/>
          </w:tcPr>
          <w:p>
            <w:pPr>
              <w:spacing w:after="0"/>
              <w:rPr>
                <w:sz w:val="9"/>
                <w:szCs w:val="9"/>
                <w:color w:val="auto"/>
              </w:rPr>
            </w:pPr>
          </w:p>
        </w:tc>
        <w:tc>
          <w:tcPr>
            <w:tcW w:w="840" w:type="dxa"/>
            <w:vAlign w:val="bottom"/>
            <w:shd w:val="clear" w:color="auto" w:fill="F1F2F2"/>
          </w:tcPr>
          <w:p>
            <w:pPr>
              <w:spacing w:after="0"/>
              <w:rPr>
                <w:sz w:val="9"/>
                <w:szCs w:val="9"/>
                <w:color w:val="auto"/>
              </w:rPr>
            </w:pPr>
          </w:p>
        </w:tc>
        <w:tc>
          <w:tcPr>
            <w:tcW w:w="880" w:type="dxa"/>
            <w:vAlign w:val="bottom"/>
            <w:shd w:val="clear" w:color="auto" w:fill="F1F2F2"/>
          </w:tcPr>
          <w:p>
            <w:pPr>
              <w:spacing w:after="0"/>
              <w:rPr>
                <w:sz w:val="9"/>
                <w:szCs w:val="9"/>
                <w:color w:val="auto"/>
              </w:rPr>
            </w:pPr>
          </w:p>
        </w:tc>
        <w:tc>
          <w:tcPr>
            <w:tcW w:w="78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2160" w:type="dxa"/>
            <w:vAlign w:val="bottom"/>
            <w:gridSpan w:val="4"/>
            <w:vMerge w:val="continue"/>
            <w:shd w:val="clear" w:color="auto" w:fill="F1F2F2"/>
          </w:tcPr>
          <w:p>
            <w:pPr>
              <w:spacing w:after="0"/>
              <w:rPr>
                <w:sz w:val="9"/>
                <w:szCs w:val="9"/>
                <w:color w:val="auto"/>
              </w:rPr>
            </w:pP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Stock</w:t>
            </w:r>
          </w:p>
        </w:tc>
        <w:tc>
          <w:tcPr>
            <w:tcW w:w="1020" w:type="dxa"/>
            <w:vAlign w:val="bottom"/>
            <w:vMerge w:val="restart"/>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Option</w:t>
            </w:r>
          </w:p>
        </w:tc>
        <w:tc>
          <w:tcPr>
            <w:tcW w:w="920" w:type="dxa"/>
            <w:vAlign w:val="bottom"/>
            <w:shd w:val="clear" w:color="auto" w:fill="F1F2F2"/>
          </w:tcPr>
          <w:p>
            <w:pPr>
              <w:spacing w:after="0"/>
              <w:rPr>
                <w:sz w:val="9"/>
                <w:szCs w:val="9"/>
                <w:color w:val="auto"/>
              </w:rPr>
            </w:pPr>
          </w:p>
        </w:tc>
        <w:tc>
          <w:tcPr>
            <w:tcW w:w="94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81"/>
        </w:trPr>
        <w:tc>
          <w:tcPr>
            <w:tcW w:w="100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40" w:type="dxa"/>
            <w:vAlign w:val="bottom"/>
            <w:shd w:val="clear" w:color="auto" w:fill="F1F2F2"/>
          </w:tcPr>
          <w:p>
            <w:pPr>
              <w:spacing w:after="0"/>
              <w:rPr>
                <w:sz w:val="7"/>
                <w:szCs w:val="7"/>
                <w:color w:val="auto"/>
              </w:rPr>
            </w:pPr>
          </w:p>
        </w:tc>
        <w:tc>
          <w:tcPr>
            <w:tcW w:w="2620" w:type="dxa"/>
            <w:vAlign w:val="bottom"/>
            <w:gridSpan w:val="4"/>
            <w:vMerge w:val="restart"/>
            <w:shd w:val="clear" w:color="auto" w:fill="F1F2F2"/>
          </w:tcPr>
          <w:p>
            <w:pPr>
              <w:jc w:val="center"/>
              <w:ind w:right="100"/>
              <w:spacing w:after="0"/>
              <w:rPr>
                <w:sz w:val="20"/>
                <w:szCs w:val="20"/>
                <w:color w:val="auto"/>
              </w:rPr>
            </w:pPr>
            <w:r>
              <w:rPr>
                <w:rFonts w:ascii="Arial" w:cs="Arial" w:eastAsia="Arial" w:hAnsi="Arial"/>
                <w:sz w:val="16"/>
                <w:szCs w:val="16"/>
                <w:b w:val="1"/>
                <w:bCs w:val="1"/>
                <w:color w:val="auto"/>
              </w:rPr>
              <w:t>Estimated Future Payouts</w:t>
            </w:r>
          </w:p>
        </w:tc>
        <w:tc>
          <w:tcPr>
            <w:tcW w:w="1540" w:type="dxa"/>
            <w:vAlign w:val="bottom"/>
            <w:gridSpan w:val="2"/>
            <w:vMerge w:val="restart"/>
            <w:shd w:val="clear" w:color="auto" w:fill="F1F2F2"/>
          </w:tcPr>
          <w:p>
            <w:pPr>
              <w:jc w:val="center"/>
              <w:ind w:left="419"/>
              <w:spacing w:after="0"/>
              <w:rPr>
                <w:sz w:val="20"/>
                <w:szCs w:val="20"/>
                <w:color w:val="auto"/>
              </w:rPr>
            </w:pPr>
            <w:r>
              <w:rPr>
                <w:rFonts w:ascii="Arial" w:cs="Arial" w:eastAsia="Arial" w:hAnsi="Arial"/>
                <w:sz w:val="16"/>
                <w:szCs w:val="16"/>
                <w:b w:val="1"/>
                <w:bCs w:val="1"/>
                <w:color w:val="auto"/>
              </w:rPr>
              <w:t>Payouts</w:t>
            </w:r>
          </w:p>
        </w:tc>
        <w:tc>
          <w:tcPr>
            <w:tcW w:w="50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920" w:type="dxa"/>
            <w:vAlign w:val="bottom"/>
            <w:vMerge w:val="continue"/>
            <w:shd w:val="clear" w:color="auto" w:fill="F1F2F2"/>
          </w:tcPr>
          <w:p>
            <w:pPr>
              <w:spacing w:after="0"/>
              <w:rPr>
                <w:sz w:val="7"/>
                <w:szCs w:val="7"/>
                <w:color w:val="auto"/>
              </w:rPr>
            </w:pPr>
          </w:p>
        </w:tc>
        <w:tc>
          <w:tcPr>
            <w:tcW w:w="1020" w:type="dxa"/>
            <w:vAlign w:val="bottom"/>
            <w:vMerge w:val="continue"/>
            <w:shd w:val="clear" w:color="auto" w:fill="F1F2F2"/>
          </w:tcPr>
          <w:p>
            <w:pPr>
              <w:spacing w:after="0"/>
              <w:rPr>
                <w:sz w:val="7"/>
                <w:szCs w:val="7"/>
                <w:color w:val="auto"/>
              </w:rPr>
            </w:pPr>
          </w:p>
        </w:tc>
        <w:tc>
          <w:tcPr>
            <w:tcW w:w="920" w:type="dxa"/>
            <w:vAlign w:val="bottom"/>
            <w:shd w:val="clear" w:color="auto" w:fill="F1F2F2"/>
          </w:tcPr>
          <w:p>
            <w:pPr>
              <w:spacing w:after="0"/>
              <w:rPr>
                <w:sz w:val="7"/>
                <w:szCs w:val="7"/>
                <w:color w:val="auto"/>
              </w:rPr>
            </w:pPr>
          </w:p>
        </w:tc>
        <w:tc>
          <w:tcPr>
            <w:tcW w:w="94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800" w:type="dxa"/>
            <w:vAlign w:val="bottom"/>
            <w:shd w:val="clear" w:color="auto" w:fill="F1F2F2"/>
          </w:tcPr>
          <w:p>
            <w:pPr>
              <w:spacing w:after="0"/>
              <w:rPr>
                <w:sz w:val="9"/>
                <w:szCs w:val="9"/>
                <w:color w:val="auto"/>
              </w:rPr>
            </w:pPr>
          </w:p>
        </w:tc>
        <w:tc>
          <w:tcPr>
            <w:tcW w:w="740" w:type="dxa"/>
            <w:vAlign w:val="bottom"/>
            <w:shd w:val="clear" w:color="auto" w:fill="F1F2F2"/>
          </w:tcPr>
          <w:p>
            <w:pPr>
              <w:spacing w:after="0"/>
              <w:rPr>
                <w:sz w:val="9"/>
                <w:szCs w:val="9"/>
                <w:color w:val="auto"/>
              </w:rPr>
            </w:pPr>
          </w:p>
        </w:tc>
        <w:tc>
          <w:tcPr>
            <w:tcW w:w="2620" w:type="dxa"/>
            <w:vAlign w:val="bottom"/>
            <w:gridSpan w:val="4"/>
            <w:vMerge w:val="continue"/>
            <w:shd w:val="clear" w:color="auto" w:fill="F1F2F2"/>
          </w:tcPr>
          <w:p>
            <w:pPr>
              <w:spacing w:after="0"/>
              <w:rPr>
                <w:sz w:val="9"/>
                <w:szCs w:val="9"/>
                <w:color w:val="auto"/>
              </w:rPr>
            </w:pPr>
          </w:p>
        </w:tc>
        <w:tc>
          <w:tcPr>
            <w:tcW w:w="1540" w:type="dxa"/>
            <w:vAlign w:val="bottom"/>
            <w:gridSpan w:val="2"/>
            <w:vMerge w:val="continue"/>
            <w:shd w:val="clear" w:color="auto" w:fill="F1F2F2"/>
          </w:tcPr>
          <w:p>
            <w:pPr>
              <w:spacing w:after="0"/>
              <w:rPr>
                <w:sz w:val="9"/>
                <w:szCs w:val="9"/>
                <w:color w:val="auto"/>
              </w:rPr>
            </w:pPr>
          </w:p>
        </w:tc>
        <w:tc>
          <w:tcPr>
            <w:tcW w:w="50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Awards:</w:t>
            </w:r>
          </w:p>
        </w:tc>
        <w:tc>
          <w:tcPr>
            <w:tcW w:w="1020" w:type="dxa"/>
            <w:vAlign w:val="bottom"/>
            <w:vMerge w:val="restart"/>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Awards:</w:t>
            </w: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Exercise</w:t>
            </w:r>
          </w:p>
        </w:tc>
        <w:tc>
          <w:tcPr>
            <w:tcW w:w="94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81"/>
        </w:trPr>
        <w:tc>
          <w:tcPr>
            <w:tcW w:w="100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40" w:type="dxa"/>
            <w:vAlign w:val="bottom"/>
            <w:shd w:val="clear" w:color="auto" w:fill="F1F2F2"/>
          </w:tcPr>
          <w:p>
            <w:pPr>
              <w:spacing w:after="0"/>
              <w:rPr>
                <w:sz w:val="7"/>
                <w:szCs w:val="7"/>
                <w:color w:val="auto"/>
              </w:rPr>
            </w:pPr>
          </w:p>
        </w:tc>
        <w:tc>
          <w:tcPr>
            <w:tcW w:w="840" w:type="dxa"/>
            <w:vAlign w:val="bottom"/>
            <w:shd w:val="clear" w:color="auto" w:fill="F1F2F2"/>
          </w:tcPr>
          <w:p>
            <w:pPr>
              <w:spacing w:after="0"/>
              <w:rPr>
                <w:sz w:val="7"/>
                <w:szCs w:val="7"/>
                <w:color w:val="auto"/>
              </w:rPr>
            </w:pPr>
          </w:p>
        </w:tc>
        <w:tc>
          <w:tcPr>
            <w:tcW w:w="880" w:type="dxa"/>
            <w:vAlign w:val="bottom"/>
            <w:vMerge w:val="restart"/>
            <w:shd w:val="clear" w:color="auto" w:fill="F1F2F2"/>
          </w:tcPr>
          <w:p>
            <w:pPr>
              <w:jc w:val="center"/>
              <w:ind w:right="19"/>
              <w:spacing w:after="0"/>
              <w:rPr>
                <w:sz w:val="20"/>
                <w:szCs w:val="20"/>
                <w:color w:val="auto"/>
              </w:rPr>
            </w:pPr>
            <w:r>
              <w:rPr>
                <w:rFonts w:ascii="Arial" w:cs="Arial" w:eastAsia="Arial" w:hAnsi="Arial"/>
                <w:sz w:val="16"/>
                <w:szCs w:val="16"/>
                <w:b w:val="1"/>
                <w:bCs w:val="1"/>
                <w:color w:val="auto"/>
                <w:w w:val="99"/>
              </w:rPr>
              <w:t>Under</w:t>
            </w:r>
          </w:p>
        </w:tc>
        <w:tc>
          <w:tcPr>
            <w:tcW w:w="78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1540" w:type="dxa"/>
            <w:vAlign w:val="bottom"/>
            <w:gridSpan w:val="2"/>
            <w:vMerge w:val="restart"/>
            <w:shd w:val="clear" w:color="auto" w:fill="F1F2F2"/>
          </w:tcPr>
          <w:p>
            <w:pPr>
              <w:jc w:val="center"/>
              <w:ind w:left="419"/>
              <w:spacing w:after="0"/>
              <w:rPr>
                <w:sz w:val="20"/>
                <w:szCs w:val="20"/>
                <w:color w:val="auto"/>
              </w:rPr>
            </w:pPr>
            <w:r>
              <w:rPr>
                <w:rFonts w:ascii="Arial" w:cs="Arial" w:eastAsia="Arial" w:hAnsi="Arial"/>
                <w:sz w:val="16"/>
                <w:szCs w:val="16"/>
                <w:b w:val="1"/>
                <w:bCs w:val="1"/>
                <w:color w:val="auto"/>
              </w:rPr>
              <w:t>Under</w:t>
            </w:r>
          </w:p>
        </w:tc>
        <w:tc>
          <w:tcPr>
            <w:tcW w:w="50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920" w:type="dxa"/>
            <w:vAlign w:val="bottom"/>
            <w:vMerge w:val="continue"/>
            <w:shd w:val="clear" w:color="auto" w:fill="F1F2F2"/>
          </w:tcPr>
          <w:p>
            <w:pPr>
              <w:spacing w:after="0"/>
              <w:rPr>
                <w:sz w:val="7"/>
                <w:szCs w:val="7"/>
                <w:color w:val="auto"/>
              </w:rPr>
            </w:pPr>
          </w:p>
        </w:tc>
        <w:tc>
          <w:tcPr>
            <w:tcW w:w="1020" w:type="dxa"/>
            <w:vAlign w:val="bottom"/>
            <w:vMerge w:val="continue"/>
            <w:shd w:val="clear" w:color="auto" w:fill="F1F2F2"/>
          </w:tcPr>
          <w:p>
            <w:pPr>
              <w:spacing w:after="0"/>
              <w:rPr>
                <w:sz w:val="7"/>
                <w:szCs w:val="7"/>
                <w:color w:val="auto"/>
              </w:rPr>
            </w:pPr>
          </w:p>
        </w:tc>
        <w:tc>
          <w:tcPr>
            <w:tcW w:w="920" w:type="dxa"/>
            <w:vAlign w:val="bottom"/>
            <w:vMerge w:val="continue"/>
            <w:shd w:val="clear" w:color="auto" w:fill="F1F2F2"/>
          </w:tcPr>
          <w:p>
            <w:pPr>
              <w:spacing w:after="0"/>
              <w:rPr>
                <w:sz w:val="7"/>
                <w:szCs w:val="7"/>
                <w:color w:val="auto"/>
              </w:rPr>
            </w:pPr>
          </w:p>
        </w:tc>
        <w:tc>
          <w:tcPr>
            <w:tcW w:w="94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00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800" w:type="dxa"/>
            <w:vAlign w:val="bottom"/>
            <w:shd w:val="clear" w:color="auto" w:fill="F1F2F2"/>
          </w:tcPr>
          <w:p>
            <w:pPr>
              <w:spacing w:after="0"/>
              <w:rPr>
                <w:sz w:val="9"/>
                <w:szCs w:val="9"/>
                <w:color w:val="auto"/>
              </w:rPr>
            </w:pPr>
          </w:p>
        </w:tc>
        <w:tc>
          <w:tcPr>
            <w:tcW w:w="740" w:type="dxa"/>
            <w:vAlign w:val="bottom"/>
            <w:shd w:val="clear" w:color="auto" w:fill="F1F2F2"/>
          </w:tcPr>
          <w:p>
            <w:pPr>
              <w:spacing w:after="0"/>
              <w:rPr>
                <w:sz w:val="9"/>
                <w:szCs w:val="9"/>
                <w:color w:val="auto"/>
              </w:rPr>
            </w:pPr>
          </w:p>
        </w:tc>
        <w:tc>
          <w:tcPr>
            <w:tcW w:w="840" w:type="dxa"/>
            <w:vAlign w:val="bottom"/>
            <w:shd w:val="clear" w:color="auto" w:fill="F1F2F2"/>
          </w:tcPr>
          <w:p>
            <w:pPr>
              <w:spacing w:after="0"/>
              <w:rPr>
                <w:sz w:val="9"/>
                <w:szCs w:val="9"/>
                <w:color w:val="auto"/>
              </w:rPr>
            </w:pPr>
          </w:p>
        </w:tc>
        <w:tc>
          <w:tcPr>
            <w:tcW w:w="880" w:type="dxa"/>
            <w:vAlign w:val="bottom"/>
            <w:vMerge w:val="continue"/>
            <w:shd w:val="clear" w:color="auto" w:fill="F1F2F2"/>
          </w:tcPr>
          <w:p>
            <w:pPr>
              <w:spacing w:after="0"/>
              <w:rPr>
                <w:sz w:val="9"/>
                <w:szCs w:val="9"/>
                <w:color w:val="auto"/>
              </w:rPr>
            </w:pPr>
          </w:p>
        </w:tc>
        <w:tc>
          <w:tcPr>
            <w:tcW w:w="78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1540" w:type="dxa"/>
            <w:vAlign w:val="bottom"/>
            <w:gridSpan w:val="2"/>
            <w:vMerge w:val="continue"/>
            <w:shd w:val="clear" w:color="auto" w:fill="F1F2F2"/>
          </w:tcPr>
          <w:p>
            <w:pPr>
              <w:spacing w:after="0"/>
              <w:rPr>
                <w:sz w:val="9"/>
                <w:szCs w:val="9"/>
                <w:color w:val="auto"/>
              </w:rPr>
            </w:pPr>
          </w:p>
        </w:tc>
        <w:tc>
          <w:tcPr>
            <w:tcW w:w="50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Number of</w:t>
            </w:r>
          </w:p>
        </w:tc>
        <w:tc>
          <w:tcPr>
            <w:tcW w:w="1020" w:type="dxa"/>
            <w:vAlign w:val="bottom"/>
            <w:vMerge w:val="restart"/>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Number</w:t>
            </w: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or Base</w:t>
            </w:r>
          </w:p>
        </w:tc>
        <w:tc>
          <w:tcPr>
            <w:tcW w:w="94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of Stock</w:t>
            </w:r>
          </w:p>
        </w:tc>
        <w:tc>
          <w:tcPr>
            <w:tcW w:w="0" w:type="dxa"/>
            <w:vAlign w:val="bottom"/>
          </w:tcPr>
          <w:p>
            <w:pPr>
              <w:spacing w:after="0"/>
              <w:rPr>
                <w:sz w:val="1"/>
                <w:szCs w:val="1"/>
                <w:color w:val="auto"/>
              </w:rPr>
            </w:pPr>
          </w:p>
        </w:tc>
      </w:tr>
      <w:tr>
        <w:trPr>
          <w:trHeight w:val="81"/>
        </w:trPr>
        <w:tc>
          <w:tcPr>
            <w:tcW w:w="100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40" w:type="dxa"/>
            <w:vAlign w:val="bottom"/>
            <w:shd w:val="clear" w:color="auto" w:fill="F1F2F2"/>
          </w:tcPr>
          <w:p>
            <w:pPr>
              <w:spacing w:after="0"/>
              <w:rPr>
                <w:sz w:val="7"/>
                <w:szCs w:val="7"/>
                <w:color w:val="auto"/>
              </w:rPr>
            </w:pPr>
          </w:p>
        </w:tc>
        <w:tc>
          <w:tcPr>
            <w:tcW w:w="2620" w:type="dxa"/>
            <w:vAlign w:val="bottom"/>
            <w:gridSpan w:val="4"/>
            <w:vMerge w:val="restart"/>
            <w:shd w:val="clear" w:color="auto" w:fill="F1F2F2"/>
          </w:tcPr>
          <w:p>
            <w:pPr>
              <w:jc w:val="center"/>
              <w:ind w:right="100"/>
              <w:spacing w:after="0"/>
              <w:rPr>
                <w:sz w:val="20"/>
                <w:szCs w:val="20"/>
                <w:color w:val="auto"/>
              </w:rPr>
            </w:pPr>
            <w:r>
              <w:rPr>
                <w:rFonts w:ascii="Arial" w:cs="Arial" w:eastAsia="Arial" w:hAnsi="Arial"/>
                <w:sz w:val="16"/>
                <w:szCs w:val="16"/>
                <w:b w:val="1"/>
                <w:bCs w:val="1"/>
                <w:color w:val="auto"/>
              </w:rPr>
              <w:t>Non</w:t>
            </w:r>
            <w:r>
              <w:rPr>
                <w:rFonts w:ascii="Arial" w:cs="Arial" w:eastAsia="Arial" w:hAnsi="Arial"/>
                <w:sz w:val="16"/>
                <w:szCs w:val="16"/>
                <w:color w:val="auto"/>
              </w:rPr>
              <w:t>-</w:t>
            </w:r>
            <w:r>
              <w:rPr>
                <w:rFonts w:ascii="Arial" w:cs="Arial" w:eastAsia="Arial" w:hAnsi="Arial"/>
                <w:sz w:val="16"/>
                <w:szCs w:val="16"/>
                <w:b w:val="1"/>
                <w:bCs w:val="1"/>
                <w:color w:val="auto"/>
              </w:rPr>
              <w:t>Equity Incentive Plan</w:t>
            </w:r>
          </w:p>
        </w:tc>
        <w:tc>
          <w:tcPr>
            <w:tcW w:w="2160" w:type="dxa"/>
            <w:vAlign w:val="bottom"/>
            <w:gridSpan w:val="4"/>
            <w:vMerge w:val="restart"/>
            <w:shd w:val="clear" w:color="auto" w:fill="F1F2F2"/>
          </w:tcPr>
          <w:p>
            <w:pPr>
              <w:jc w:val="center"/>
              <w:ind w:right="120"/>
              <w:spacing w:after="0"/>
              <w:rPr>
                <w:sz w:val="20"/>
                <w:szCs w:val="20"/>
                <w:color w:val="auto"/>
              </w:rPr>
            </w:pPr>
            <w:r>
              <w:rPr>
                <w:rFonts w:ascii="Arial" w:cs="Arial" w:eastAsia="Arial" w:hAnsi="Arial"/>
                <w:sz w:val="16"/>
                <w:szCs w:val="16"/>
                <w:b w:val="1"/>
                <w:bCs w:val="1"/>
                <w:color w:val="auto"/>
              </w:rPr>
              <w:t>Equity Incentive Plan</w:t>
            </w:r>
          </w:p>
        </w:tc>
        <w:tc>
          <w:tcPr>
            <w:tcW w:w="920" w:type="dxa"/>
            <w:vAlign w:val="bottom"/>
            <w:vMerge w:val="continue"/>
            <w:shd w:val="clear" w:color="auto" w:fill="F1F2F2"/>
          </w:tcPr>
          <w:p>
            <w:pPr>
              <w:spacing w:after="0"/>
              <w:rPr>
                <w:sz w:val="7"/>
                <w:szCs w:val="7"/>
                <w:color w:val="auto"/>
              </w:rPr>
            </w:pPr>
          </w:p>
        </w:tc>
        <w:tc>
          <w:tcPr>
            <w:tcW w:w="1020" w:type="dxa"/>
            <w:vAlign w:val="bottom"/>
            <w:vMerge w:val="continue"/>
            <w:shd w:val="clear" w:color="auto" w:fill="F1F2F2"/>
          </w:tcPr>
          <w:p>
            <w:pPr>
              <w:spacing w:after="0"/>
              <w:rPr>
                <w:sz w:val="7"/>
                <w:szCs w:val="7"/>
                <w:color w:val="auto"/>
              </w:rPr>
            </w:pPr>
          </w:p>
        </w:tc>
        <w:tc>
          <w:tcPr>
            <w:tcW w:w="920" w:type="dxa"/>
            <w:vAlign w:val="bottom"/>
            <w:vMerge w:val="continue"/>
            <w:shd w:val="clear" w:color="auto" w:fill="F1F2F2"/>
          </w:tcPr>
          <w:p>
            <w:pPr>
              <w:spacing w:after="0"/>
              <w:rPr>
                <w:sz w:val="7"/>
                <w:szCs w:val="7"/>
                <w:color w:val="auto"/>
              </w:rPr>
            </w:pPr>
          </w:p>
        </w:tc>
        <w:tc>
          <w:tcPr>
            <w:tcW w:w="94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1000" w:type="dxa"/>
            <w:vAlign w:val="bottom"/>
            <w:shd w:val="clear" w:color="auto" w:fill="F1F2F2"/>
          </w:tcPr>
          <w:p>
            <w:pPr>
              <w:spacing w:after="0"/>
              <w:rPr>
                <w:sz w:val="9"/>
                <w:szCs w:val="9"/>
                <w:color w:val="auto"/>
              </w:rPr>
            </w:pPr>
          </w:p>
        </w:tc>
        <w:tc>
          <w:tcPr>
            <w:tcW w:w="120" w:type="dxa"/>
            <w:vAlign w:val="bottom"/>
            <w:shd w:val="clear" w:color="auto" w:fill="F1F2F2"/>
          </w:tcPr>
          <w:p>
            <w:pPr>
              <w:spacing w:after="0"/>
              <w:rPr>
                <w:sz w:val="9"/>
                <w:szCs w:val="9"/>
                <w:color w:val="auto"/>
              </w:rPr>
            </w:pPr>
          </w:p>
        </w:tc>
        <w:tc>
          <w:tcPr>
            <w:tcW w:w="800" w:type="dxa"/>
            <w:vAlign w:val="bottom"/>
            <w:shd w:val="clear" w:color="auto" w:fill="F1F2F2"/>
          </w:tcPr>
          <w:p>
            <w:pPr>
              <w:spacing w:after="0"/>
              <w:rPr>
                <w:sz w:val="9"/>
                <w:szCs w:val="9"/>
                <w:color w:val="auto"/>
              </w:rPr>
            </w:pPr>
          </w:p>
        </w:tc>
        <w:tc>
          <w:tcPr>
            <w:tcW w:w="740" w:type="dxa"/>
            <w:vAlign w:val="bottom"/>
            <w:shd w:val="clear" w:color="auto" w:fill="F1F2F2"/>
          </w:tcPr>
          <w:p>
            <w:pPr>
              <w:spacing w:after="0"/>
              <w:rPr>
                <w:sz w:val="9"/>
                <w:szCs w:val="9"/>
                <w:color w:val="auto"/>
              </w:rPr>
            </w:pPr>
          </w:p>
        </w:tc>
        <w:tc>
          <w:tcPr>
            <w:tcW w:w="2620" w:type="dxa"/>
            <w:vAlign w:val="bottom"/>
            <w:gridSpan w:val="4"/>
            <w:vMerge w:val="continue"/>
            <w:shd w:val="clear" w:color="auto" w:fill="F1F2F2"/>
          </w:tcPr>
          <w:p>
            <w:pPr>
              <w:spacing w:after="0"/>
              <w:rPr>
                <w:sz w:val="9"/>
                <w:szCs w:val="9"/>
                <w:color w:val="auto"/>
              </w:rPr>
            </w:pPr>
          </w:p>
        </w:tc>
        <w:tc>
          <w:tcPr>
            <w:tcW w:w="2160" w:type="dxa"/>
            <w:vAlign w:val="bottom"/>
            <w:gridSpan w:val="4"/>
            <w:vMerge w:val="continue"/>
            <w:shd w:val="clear" w:color="auto" w:fill="F1F2F2"/>
          </w:tcPr>
          <w:p>
            <w:pPr>
              <w:spacing w:after="0"/>
              <w:rPr>
                <w:sz w:val="9"/>
                <w:szCs w:val="9"/>
                <w:color w:val="auto"/>
              </w:rPr>
            </w:pP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Shares of</w:t>
            </w:r>
          </w:p>
        </w:tc>
        <w:tc>
          <w:tcPr>
            <w:tcW w:w="1020" w:type="dxa"/>
            <w:vAlign w:val="bottom"/>
            <w:vMerge w:val="restart"/>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of Shares</w:t>
            </w:r>
          </w:p>
        </w:tc>
        <w:tc>
          <w:tcPr>
            <w:tcW w:w="92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Price of</w:t>
            </w:r>
          </w:p>
        </w:tc>
        <w:tc>
          <w:tcPr>
            <w:tcW w:w="940" w:type="dxa"/>
            <w:vAlign w:val="bottom"/>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and</w:t>
            </w:r>
          </w:p>
        </w:tc>
        <w:tc>
          <w:tcPr>
            <w:tcW w:w="0" w:type="dxa"/>
            <w:vAlign w:val="bottom"/>
          </w:tcPr>
          <w:p>
            <w:pPr>
              <w:spacing w:after="0"/>
              <w:rPr>
                <w:sz w:val="1"/>
                <w:szCs w:val="1"/>
                <w:color w:val="auto"/>
              </w:rPr>
            </w:pPr>
          </w:p>
        </w:tc>
      </w:tr>
      <w:tr>
        <w:trPr>
          <w:trHeight w:val="82"/>
        </w:trPr>
        <w:tc>
          <w:tcPr>
            <w:tcW w:w="100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800" w:type="dxa"/>
            <w:vAlign w:val="bottom"/>
            <w:shd w:val="clear" w:color="auto" w:fill="F1F2F2"/>
          </w:tcPr>
          <w:p>
            <w:pPr>
              <w:spacing w:after="0"/>
              <w:rPr>
                <w:sz w:val="7"/>
                <w:szCs w:val="7"/>
                <w:color w:val="auto"/>
              </w:rPr>
            </w:pPr>
          </w:p>
        </w:tc>
        <w:tc>
          <w:tcPr>
            <w:tcW w:w="740" w:type="dxa"/>
            <w:vAlign w:val="bottom"/>
            <w:shd w:val="clear" w:color="auto" w:fill="F1F2F2"/>
          </w:tcPr>
          <w:p>
            <w:pPr>
              <w:spacing w:after="0"/>
              <w:rPr>
                <w:sz w:val="7"/>
                <w:szCs w:val="7"/>
                <w:color w:val="auto"/>
              </w:rPr>
            </w:pPr>
          </w:p>
        </w:tc>
        <w:tc>
          <w:tcPr>
            <w:tcW w:w="840" w:type="dxa"/>
            <w:vAlign w:val="bottom"/>
            <w:shd w:val="clear" w:color="auto" w:fill="F1F2F2"/>
          </w:tcPr>
          <w:p>
            <w:pPr>
              <w:spacing w:after="0"/>
              <w:rPr>
                <w:sz w:val="7"/>
                <w:szCs w:val="7"/>
                <w:color w:val="auto"/>
              </w:rPr>
            </w:pPr>
          </w:p>
        </w:tc>
        <w:tc>
          <w:tcPr>
            <w:tcW w:w="880" w:type="dxa"/>
            <w:vAlign w:val="bottom"/>
            <w:vMerge w:val="restart"/>
            <w:shd w:val="clear" w:color="auto" w:fill="F1F2F2"/>
          </w:tcPr>
          <w:p>
            <w:pPr>
              <w:jc w:val="center"/>
              <w:spacing w:after="0" w:line="224" w:lineRule="exact"/>
              <w:rPr>
                <w:sz w:val="20"/>
                <w:szCs w:val="20"/>
                <w:color w:val="auto"/>
              </w:rPr>
            </w:pPr>
            <w:r>
              <w:rPr>
                <w:rFonts w:ascii="Arial" w:cs="Arial" w:eastAsia="Arial" w:hAnsi="Arial"/>
                <w:sz w:val="16"/>
                <w:szCs w:val="16"/>
                <w:b w:val="1"/>
                <w:bCs w:val="1"/>
                <w:color w:val="auto"/>
                <w:w w:val="94"/>
              </w:rPr>
              <w:t>Awards</w:t>
            </w:r>
            <w:r>
              <w:rPr>
                <w:rFonts w:ascii="Arial" w:cs="Arial" w:eastAsia="Arial" w:hAnsi="Arial"/>
                <w:sz w:val="25"/>
                <w:szCs w:val="25"/>
                <w:b w:val="1"/>
                <w:bCs w:val="1"/>
                <w:color w:val="auto"/>
                <w:w w:val="94"/>
                <w:vertAlign w:val="superscript"/>
              </w:rPr>
              <w:t>(1)</w:t>
            </w:r>
          </w:p>
        </w:tc>
        <w:tc>
          <w:tcPr>
            <w:tcW w:w="78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1540" w:type="dxa"/>
            <w:vAlign w:val="bottom"/>
            <w:gridSpan w:val="2"/>
            <w:vMerge w:val="restart"/>
            <w:shd w:val="clear" w:color="auto" w:fill="F1F2F2"/>
          </w:tcPr>
          <w:p>
            <w:pPr>
              <w:jc w:val="center"/>
              <w:ind w:left="419"/>
              <w:spacing w:after="0" w:line="224" w:lineRule="exact"/>
              <w:rPr>
                <w:sz w:val="20"/>
                <w:szCs w:val="20"/>
                <w:color w:val="auto"/>
              </w:rPr>
            </w:pPr>
            <w:r>
              <w:rPr>
                <w:rFonts w:ascii="Arial" w:cs="Arial" w:eastAsia="Arial" w:hAnsi="Arial"/>
                <w:sz w:val="16"/>
                <w:szCs w:val="16"/>
                <w:b w:val="1"/>
                <w:bCs w:val="1"/>
                <w:color w:val="auto"/>
                <w:w w:val="97"/>
              </w:rPr>
              <w:t>Awards</w:t>
            </w:r>
            <w:r>
              <w:rPr>
                <w:rFonts w:ascii="Arial" w:cs="Arial" w:eastAsia="Arial" w:hAnsi="Arial"/>
                <w:sz w:val="25"/>
                <w:szCs w:val="25"/>
                <w:b w:val="1"/>
                <w:bCs w:val="1"/>
                <w:color w:val="auto"/>
                <w:w w:val="97"/>
                <w:vertAlign w:val="superscript"/>
              </w:rPr>
              <w:t>(2)</w:t>
            </w:r>
          </w:p>
        </w:tc>
        <w:tc>
          <w:tcPr>
            <w:tcW w:w="500" w:type="dxa"/>
            <w:vAlign w:val="bottom"/>
            <w:shd w:val="clear" w:color="auto" w:fill="F1F2F2"/>
          </w:tcPr>
          <w:p>
            <w:pPr>
              <w:spacing w:after="0"/>
              <w:rPr>
                <w:sz w:val="7"/>
                <w:szCs w:val="7"/>
                <w:color w:val="auto"/>
              </w:rPr>
            </w:pPr>
          </w:p>
        </w:tc>
        <w:tc>
          <w:tcPr>
            <w:tcW w:w="120" w:type="dxa"/>
            <w:vAlign w:val="bottom"/>
            <w:shd w:val="clear" w:color="auto" w:fill="F1F2F2"/>
          </w:tcPr>
          <w:p>
            <w:pPr>
              <w:spacing w:after="0"/>
              <w:rPr>
                <w:sz w:val="7"/>
                <w:szCs w:val="7"/>
                <w:color w:val="auto"/>
              </w:rPr>
            </w:pPr>
          </w:p>
        </w:tc>
        <w:tc>
          <w:tcPr>
            <w:tcW w:w="920" w:type="dxa"/>
            <w:vAlign w:val="bottom"/>
            <w:vMerge w:val="continue"/>
            <w:shd w:val="clear" w:color="auto" w:fill="F1F2F2"/>
          </w:tcPr>
          <w:p>
            <w:pPr>
              <w:spacing w:after="0"/>
              <w:rPr>
                <w:sz w:val="7"/>
                <w:szCs w:val="7"/>
                <w:color w:val="auto"/>
              </w:rPr>
            </w:pPr>
          </w:p>
        </w:tc>
        <w:tc>
          <w:tcPr>
            <w:tcW w:w="1020" w:type="dxa"/>
            <w:vAlign w:val="bottom"/>
            <w:vMerge w:val="continue"/>
            <w:shd w:val="clear" w:color="auto" w:fill="F1F2F2"/>
          </w:tcPr>
          <w:p>
            <w:pPr>
              <w:spacing w:after="0"/>
              <w:rPr>
                <w:sz w:val="7"/>
                <w:szCs w:val="7"/>
                <w:color w:val="auto"/>
              </w:rPr>
            </w:pPr>
          </w:p>
        </w:tc>
        <w:tc>
          <w:tcPr>
            <w:tcW w:w="920" w:type="dxa"/>
            <w:vAlign w:val="bottom"/>
            <w:vMerge w:val="continue"/>
            <w:shd w:val="clear" w:color="auto" w:fill="F1F2F2"/>
          </w:tcPr>
          <w:p>
            <w:pPr>
              <w:spacing w:after="0"/>
              <w:rPr>
                <w:sz w:val="7"/>
                <w:szCs w:val="7"/>
                <w:color w:val="auto"/>
              </w:rPr>
            </w:pPr>
          </w:p>
        </w:tc>
        <w:tc>
          <w:tcPr>
            <w:tcW w:w="940" w:type="dxa"/>
            <w:vAlign w:val="bottom"/>
            <w:vMerge w:val="continue"/>
            <w:shd w:val="clear" w:color="auto" w:fill="F1F2F2"/>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000" w:type="dxa"/>
            <w:vAlign w:val="bottom"/>
            <w:tcBorders>
              <w:bottom w:val="single" w:sz="8" w:color="F1F2F2"/>
            </w:tcBorders>
            <w:shd w:val="clear" w:color="auto" w:fill="F1F2F2"/>
          </w:tcPr>
          <w:p>
            <w:pPr>
              <w:spacing w:after="0"/>
              <w:rPr>
                <w:sz w:val="14"/>
                <w:szCs w:val="14"/>
                <w:color w:val="auto"/>
              </w:rPr>
            </w:pPr>
          </w:p>
        </w:tc>
        <w:tc>
          <w:tcPr>
            <w:tcW w:w="120" w:type="dxa"/>
            <w:vAlign w:val="bottom"/>
            <w:tcBorders>
              <w:bottom w:val="single" w:sz="8" w:color="F1F2F2"/>
            </w:tcBorders>
            <w:shd w:val="clear" w:color="auto" w:fill="F1F2F2"/>
          </w:tcPr>
          <w:p>
            <w:pPr>
              <w:spacing w:after="0"/>
              <w:rPr>
                <w:sz w:val="14"/>
                <w:szCs w:val="14"/>
                <w:color w:val="auto"/>
              </w:rPr>
            </w:pPr>
          </w:p>
        </w:tc>
        <w:tc>
          <w:tcPr>
            <w:tcW w:w="800" w:type="dxa"/>
            <w:vAlign w:val="bottom"/>
            <w:tcBorders>
              <w:bottom w:val="single" w:sz="8" w:color="F1F2F2"/>
            </w:tcBorders>
            <w:vMerge w:val="restart"/>
            <w:shd w:val="clear" w:color="auto" w:fill="F1F2F2"/>
          </w:tcPr>
          <w:p>
            <w:pPr>
              <w:jc w:val="right"/>
              <w:spacing w:after="0"/>
              <w:rPr>
                <w:sz w:val="20"/>
                <w:szCs w:val="20"/>
                <w:color w:val="auto"/>
              </w:rPr>
            </w:pPr>
            <w:r>
              <w:rPr>
                <w:rFonts w:ascii="Arial" w:cs="Arial" w:eastAsia="Arial" w:hAnsi="Arial"/>
                <w:sz w:val="16"/>
                <w:szCs w:val="16"/>
                <w:b w:val="1"/>
                <w:bCs w:val="1"/>
                <w:color w:val="auto"/>
              </w:rPr>
              <w:t>Type of</w:t>
            </w:r>
          </w:p>
        </w:tc>
        <w:tc>
          <w:tcPr>
            <w:tcW w:w="740" w:type="dxa"/>
            <w:vAlign w:val="bottom"/>
            <w:tcBorders>
              <w:bottom w:val="single" w:sz="8" w:color="F1F2F2"/>
            </w:tcBorders>
            <w:shd w:val="clear" w:color="auto" w:fill="F1F2F2"/>
          </w:tcPr>
          <w:p>
            <w:pPr>
              <w:spacing w:after="0"/>
              <w:rPr>
                <w:sz w:val="14"/>
                <w:szCs w:val="14"/>
                <w:color w:val="auto"/>
              </w:rPr>
            </w:pPr>
          </w:p>
        </w:tc>
        <w:tc>
          <w:tcPr>
            <w:tcW w:w="840" w:type="dxa"/>
            <w:vAlign w:val="bottom"/>
            <w:tcBorders>
              <w:bottom w:val="single" w:sz="8" w:color="FFE933"/>
            </w:tcBorders>
            <w:shd w:val="clear" w:color="auto" w:fill="F1F2F2"/>
          </w:tcPr>
          <w:p>
            <w:pPr>
              <w:spacing w:after="0"/>
              <w:rPr>
                <w:sz w:val="14"/>
                <w:szCs w:val="14"/>
                <w:color w:val="auto"/>
              </w:rPr>
            </w:pPr>
          </w:p>
        </w:tc>
        <w:tc>
          <w:tcPr>
            <w:tcW w:w="880" w:type="dxa"/>
            <w:vAlign w:val="bottom"/>
            <w:tcBorders>
              <w:bottom w:val="single" w:sz="8" w:color="FFE933"/>
            </w:tcBorders>
            <w:vMerge w:val="continue"/>
            <w:shd w:val="clear" w:color="auto" w:fill="F1F2F2"/>
          </w:tcPr>
          <w:p>
            <w:pPr>
              <w:spacing w:after="0"/>
              <w:rPr>
                <w:sz w:val="14"/>
                <w:szCs w:val="14"/>
                <w:color w:val="auto"/>
              </w:rPr>
            </w:pPr>
          </w:p>
        </w:tc>
        <w:tc>
          <w:tcPr>
            <w:tcW w:w="780" w:type="dxa"/>
            <w:vAlign w:val="bottom"/>
            <w:tcBorders>
              <w:bottom w:val="single" w:sz="8" w:color="FFE933"/>
            </w:tcBorders>
            <w:shd w:val="clear" w:color="auto" w:fill="F1F2F2"/>
          </w:tcPr>
          <w:p>
            <w:pPr>
              <w:spacing w:after="0"/>
              <w:rPr>
                <w:sz w:val="14"/>
                <w:szCs w:val="14"/>
                <w:color w:val="auto"/>
              </w:rPr>
            </w:pPr>
          </w:p>
        </w:tc>
        <w:tc>
          <w:tcPr>
            <w:tcW w:w="120" w:type="dxa"/>
            <w:vAlign w:val="bottom"/>
            <w:tcBorders>
              <w:bottom w:val="single" w:sz="8" w:color="F1F2F2"/>
            </w:tcBorders>
            <w:shd w:val="clear" w:color="auto" w:fill="F1F2F2"/>
          </w:tcPr>
          <w:p>
            <w:pPr>
              <w:spacing w:after="0"/>
              <w:rPr>
                <w:sz w:val="14"/>
                <w:szCs w:val="14"/>
                <w:color w:val="auto"/>
              </w:rPr>
            </w:pPr>
          </w:p>
        </w:tc>
        <w:tc>
          <w:tcPr>
            <w:tcW w:w="1540" w:type="dxa"/>
            <w:vAlign w:val="bottom"/>
            <w:tcBorders>
              <w:bottom w:val="single" w:sz="8" w:color="FFE933"/>
            </w:tcBorders>
            <w:gridSpan w:val="2"/>
            <w:vMerge w:val="continue"/>
            <w:shd w:val="clear" w:color="auto" w:fill="F1F2F2"/>
          </w:tcPr>
          <w:p>
            <w:pPr>
              <w:spacing w:after="0"/>
              <w:rPr>
                <w:sz w:val="14"/>
                <w:szCs w:val="14"/>
                <w:color w:val="auto"/>
              </w:rPr>
            </w:pPr>
          </w:p>
        </w:tc>
        <w:tc>
          <w:tcPr>
            <w:tcW w:w="500" w:type="dxa"/>
            <w:vAlign w:val="bottom"/>
            <w:tcBorders>
              <w:bottom w:val="single" w:sz="8" w:color="FFE933"/>
            </w:tcBorders>
            <w:shd w:val="clear" w:color="auto" w:fill="F1F2F2"/>
          </w:tcPr>
          <w:p>
            <w:pPr>
              <w:spacing w:after="0"/>
              <w:rPr>
                <w:sz w:val="14"/>
                <w:szCs w:val="14"/>
                <w:color w:val="auto"/>
              </w:rPr>
            </w:pPr>
          </w:p>
        </w:tc>
        <w:tc>
          <w:tcPr>
            <w:tcW w:w="120" w:type="dxa"/>
            <w:vAlign w:val="bottom"/>
            <w:tcBorders>
              <w:bottom w:val="single" w:sz="8" w:color="F1F2F2"/>
            </w:tcBorders>
            <w:shd w:val="clear" w:color="auto" w:fill="F1F2F2"/>
          </w:tcPr>
          <w:p>
            <w:pPr>
              <w:spacing w:after="0"/>
              <w:rPr>
                <w:sz w:val="14"/>
                <w:szCs w:val="14"/>
                <w:color w:val="auto"/>
              </w:rPr>
            </w:pPr>
          </w:p>
        </w:tc>
        <w:tc>
          <w:tcPr>
            <w:tcW w:w="920" w:type="dxa"/>
            <w:vAlign w:val="bottom"/>
            <w:tcBorders>
              <w:bottom w:val="single" w:sz="8" w:color="F1F2F2"/>
            </w:tcBorders>
            <w:shd w:val="clear" w:color="auto" w:fill="F1F2F2"/>
          </w:tcPr>
          <w:p>
            <w:pPr>
              <w:jc w:val="right"/>
              <w:spacing w:after="0" w:line="143" w:lineRule="exact"/>
              <w:rPr>
                <w:sz w:val="20"/>
                <w:szCs w:val="20"/>
                <w:color w:val="auto"/>
              </w:rPr>
            </w:pPr>
            <w:r>
              <w:rPr>
                <w:rFonts w:ascii="Arial" w:cs="Arial" w:eastAsia="Arial" w:hAnsi="Arial"/>
                <w:sz w:val="16"/>
                <w:szCs w:val="16"/>
                <w:b w:val="1"/>
                <w:bCs w:val="1"/>
                <w:color w:val="auto"/>
              </w:rPr>
              <w:t>Stock or</w:t>
            </w:r>
          </w:p>
        </w:tc>
        <w:tc>
          <w:tcPr>
            <w:tcW w:w="1020" w:type="dxa"/>
            <w:vAlign w:val="bottom"/>
            <w:tcBorders>
              <w:bottom w:val="single" w:sz="8" w:color="F1F2F2"/>
            </w:tcBorders>
            <w:shd w:val="clear" w:color="auto" w:fill="F1F2F2"/>
          </w:tcPr>
          <w:p>
            <w:pPr>
              <w:jc w:val="right"/>
              <w:ind w:right="19"/>
              <w:spacing w:after="0" w:line="143" w:lineRule="exact"/>
              <w:rPr>
                <w:sz w:val="20"/>
                <w:szCs w:val="20"/>
                <w:color w:val="auto"/>
              </w:rPr>
            </w:pPr>
            <w:r>
              <w:rPr>
                <w:rFonts w:ascii="Arial" w:cs="Arial" w:eastAsia="Arial" w:hAnsi="Arial"/>
                <w:sz w:val="16"/>
                <w:szCs w:val="16"/>
                <w:b w:val="1"/>
                <w:bCs w:val="1"/>
                <w:color w:val="auto"/>
              </w:rPr>
              <w:t>Underlying</w:t>
            </w:r>
          </w:p>
        </w:tc>
        <w:tc>
          <w:tcPr>
            <w:tcW w:w="920" w:type="dxa"/>
            <w:vAlign w:val="bottom"/>
            <w:tcBorders>
              <w:bottom w:val="single" w:sz="8" w:color="F1F2F2"/>
            </w:tcBorders>
            <w:shd w:val="clear" w:color="auto" w:fill="F1F2F2"/>
          </w:tcPr>
          <w:p>
            <w:pPr>
              <w:jc w:val="right"/>
              <w:spacing w:after="0" w:line="143" w:lineRule="exact"/>
              <w:rPr>
                <w:sz w:val="20"/>
                <w:szCs w:val="20"/>
                <w:color w:val="auto"/>
              </w:rPr>
            </w:pPr>
            <w:r>
              <w:rPr>
                <w:rFonts w:ascii="Arial" w:cs="Arial" w:eastAsia="Arial" w:hAnsi="Arial"/>
                <w:sz w:val="16"/>
                <w:szCs w:val="16"/>
                <w:b w:val="1"/>
                <w:bCs w:val="1"/>
                <w:color w:val="auto"/>
              </w:rPr>
              <w:t>Option</w:t>
            </w:r>
          </w:p>
        </w:tc>
        <w:tc>
          <w:tcPr>
            <w:tcW w:w="940" w:type="dxa"/>
            <w:vAlign w:val="bottom"/>
            <w:tcBorders>
              <w:bottom w:val="single" w:sz="8" w:color="F1F2F2"/>
            </w:tcBorders>
            <w:shd w:val="clear" w:color="auto" w:fill="F1F2F2"/>
          </w:tcPr>
          <w:p>
            <w:pPr>
              <w:jc w:val="right"/>
              <w:spacing w:after="0" w:line="143" w:lineRule="exact"/>
              <w:rPr>
                <w:sz w:val="20"/>
                <w:szCs w:val="20"/>
                <w:color w:val="auto"/>
              </w:rPr>
            </w:pPr>
            <w:r>
              <w:rPr>
                <w:rFonts w:ascii="Arial" w:cs="Arial" w:eastAsia="Arial" w:hAnsi="Arial"/>
                <w:sz w:val="16"/>
                <w:szCs w:val="16"/>
                <w:b w:val="1"/>
                <w:bCs w:val="1"/>
                <w:color w:val="auto"/>
              </w:rPr>
              <w:t>Option</w:t>
            </w:r>
          </w:p>
        </w:tc>
        <w:tc>
          <w:tcPr>
            <w:tcW w:w="0" w:type="dxa"/>
            <w:vAlign w:val="bottom"/>
          </w:tcPr>
          <w:p>
            <w:pPr>
              <w:spacing w:after="0"/>
              <w:rPr>
                <w:sz w:val="1"/>
                <w:szCs w:val="1"/>
                <w:color w:val="auto"/>
              </w:rPr>
            </w:pPr>
          </w:p>
        </w:tc>
      </w:tr>
      <w:tr>
        <w:trPr>
          <w:trHeight w:val="203"/>
        </w:trPr>
        <w:tc>
          <w:tcPr>
            <w:tcW w:w="1000" w:type="dxa"/>
            <w:vAlign w:val="bottom"/>
            <w:shd w:val="clear" w:color="auto" w:fill="F1F2F2"/>
          </w:tcPr>
          <w:p>
            <w:pPr>
              <w:spacing w:after="0"/>
              <w:rPr>
                <w:sz w:val="17"/>
                <w:szCs w:val="17"/>
                <w:color w:val="auto"/>
              </w:rPr>
            </w:pPr>
          </w:p>
        </w:tc>
        <w:tc>
          <w:tcPr>
            <w:tcW w:w="120" w:type="dxa"/>
            <w:vAlign w:val="bottom"/>
            <w:shd w:val="clear" w:color="auto" w:fill="F1F2F2"/>
          </w:tcPr>
          <w:p>
            <w:pPr>
              <w:spacing w:after="0"/>
              <w:rPr>
                <w:sz w:val="17"/>
                <w:szCs w:val="17"/>
                <w:color w:val="auto"/>
              </w:rPr>
            </w:pPr>
          </w:p>
        </w:tc>
        <w:tc>
          <w:tcPr>
            <w:tcW w:w="800" w:type="dxa"/>
            <w:vAlign w:val="bottom"/>
            <w:vMerge w:val="continue"/>
            <w:shd w:val="clear" w:color="auto" w:fill="F1F2F2"/>
          </w:tcPr>
          <w:p>
            <w:pPr>
              <w:spacing w:after="0"/>
              <w:rPr>
                <w:sz w:val="17"/>
                <w:szCs w:val="17"/>
                <w:color w:val="auto"/>
              </w:rPr>
            </w:pPr>
          </w:p>
        </w:tc>
        <w:tc>
          <w:tcPr>
            <w:tcW w:w="7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Grant</w:t>
            </w:r>
          </w:p>
        </w:tc>
        <w:tc>
          <w:tcPr>
            <w:tcW w:w="8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Threshold</w:t>
            </w:r>
          </w:p>
        </w:tc>
        <w:tc>
          <w:tcPr>
            <w:tcW w:w="8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Target</w:t>
            </w:r>
          </w:p>
        </w:tc>
        <w:tc>
          <w:tcPr>
            <w:tcW w:w="900" w:type="dxa"/>
            <w:vAlign w:val="bottom"/>
            <w:gridSpan w:val="2"/>
            <w:shd w:val="clear" w:color="auto" w:fill="F1F2F2"/>
          </w:tcPr>
          <w:p>
            <w:pPr>
              <w:jc w:val="right"/>
              <w:ind w:right="120"/>
              <w:spacing w:after="0"/>
              <w:rPr>
                <w:sz w:val="20"/>
                <w:szCs w:val="20"/>
                <w:color w:val="auto"/>
              </w:rPr>
            </w:pPr>
            <w:r>
              <w:rPr>
                <w:rFonts w:ascii="Arial" w:cs="Arial" w:eastAsia="Arial" w:hAnsi="Arial"/>
                <w:sz w:val="16"/>
                <w:szCs w:val="16"/>
                <w:b w:val="1"/>
                <w:bCs w:val="1"/>
                <w:color w:val="auto"/>
              </w:rPr>
              <w:t>Max</w:t>
            </w:r>
          </w:p>
        </w:tc>
        <w:tc>
          <w:tcPr>
            <w:tcW w:w="8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Threshold</w:t>
            </w:r>
          </w:p>
        </w:tc>
        <w:tc>
          <w:tcPr>
            <w:tcW w:w="66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Target</w:t>
            </w:r>
          </w:p>
        </w:tc>
        <w:tc>
          <w:tcPr>
            <w:tcW w:w="620" w:type="dxa"/>
            <w:vAlign w:val="bottom"/>
            <w:gridSpan w:val="2"/>
            <w:shd w:val="clear" w:color="auto" w:fill="F1F2F2"/>
          </w:tcPr>
          <w:p>
            <w:pPr>
              <w:ind w:left="180"/>
              <w:spacing w:after="0"/>
              <w:rPr>
                <w:sz w:val="20"/>
                <w:szCs w:val="20"/>
                <w:color w:val="auto"/>
              </w:rPr>
            </w:pPr>
            <w:r>
              <w:rPr>
                <w:rFonts w:ascii="Arial" w:cs="Arial" w:eastAsia="Arial" w:hAnsi="Arial"/>
                <w:sz w:val="16"/>
                <w:szCs w:val="16"/>
                <w:b w:val="1"/>
                <w:bCs w:val="1"/>
                <w:color w:val="auto"/>
              </w:rPr>
              <w:t>Max</w:t>
            </w:r>
          </w:p>
        </w:tc>
        <w:tc>
          <w:tcPr>
            <w:tcW w:w="920" w:type="dxa"/>
            <w:vAlign w:val="bottom"/>
            <w:shd w:val="clear" w:color="auto" w:fill="F1F2F2"/>
          </w:tcPr>
          <w:p>
            <w:pPr>
              <w:jc w:val="right"/>
              <w:spacing w:after="0" w:line="202" w:lineRule="exact"/>
              <w:rPr>
                <w:sz w:val="20"/>
                <w:szCs w:val="20"/>
                <w:color w:val="auto"/>
              </w:rPr>
            </w:pPr>
            <w:r>
              <w:rPr>
                <w:rFonts w:ascii="Arial" w:cs="Arial" w:eastAsia="Arial" w:hAnsi="Arial"/>
                <w:sz w:val="15"/>
                <w:szCs w:val="15"/>
                <w:b w:val="1"/>
                <w:bCs w:val="1"/>
                <w:color w:val="auto"/>
              </w:rPr>
              <w:t>Units</w:t>
            </w:r>
            <w:r>
              <w:rPr>
                <w:rFonts w:ascii="Arial" w:cs="Arial" w:eastAsia="Arial" w:hAnsi="Arial"/>
                <w:sz w:val="23"/>
                <w:szCs w:val="23"/>
                <w:b w:val="1"/>
                <w:bCs w:val="1"/>
                <w:color w:val="auto"/>
                <w:vertAlign w:val="superscript"/>
              </w:rPr>
              <w:t>(3)</w:t>
            </w:r>
          </w:p>
        </w:tc>
        <w:tc>
          <w:tcPr>
            <w:tcW w:w="1020" w:type="dxa"/>
            <w:vAlign w:val="bottom"/>
            <w:shd w:val="clear" w:color="auto" w:fill="F1F2F2"/>
          </w:tcPr>
          <w:p>
            <w:pPr>
              <w:jc w:val="right"/>
              <w:ind w:right="19"/>
              <w:spacing w:after="0" w:line="202" w:lineRule="exact"/>
              <w:rPr>
                <w:sz w:val="20"/>
                <w:szCs w:val="20"/>
                <w:color w:val="auto"/>
              </w:rPr>
            </w:pPr>
            <w:r>
              <w:rPr>
                <w:rFonts w:ascii="Arial" w:cs="Arial" w:eastAsia="Arial" w:hAnsi="Arial"/>
                <w:sz w:val="15"/>
                <w:szCs w:val="15"/>
                <w:b w:val="1"/>
                <w:bCs w:val="1"/>
                <w:color w:val="auto"/>
              </w:rPr>
              <w:t>Options</w:t>
            </w:r>
            <w:r>
              <w:rPr>
                <w:rFonts w:ascii="Arial" w:cs="Arial" w:eastAsia="Arial" w:hAnsi="Arial"/>
                <w:sz w:val="23"/>
                <w:szCs w:val="23"/>
                <w:b w:val="1"/>
                <w:bCs w:val="1"/>
                <w:color w:val="auto"/>
                <w:vertAlign w:val="superscript"/>
              </w:rPr>
              <w:t>(3)</w:t>
            </w:r>
          </w:p>
        </w:tc>
        <w:tc>
          <w:tcPr>
            <w:tcW w:w="920" w:type="dxa"/>
            <w:vAlign w:val="bottom"/>
            <w:shd w:val="clear" w:color="auto" w:fill="F1F2F2"/>
          </w:tcPr>
          <w:p>
            <w:pPr>
              <w:jc w:val="right"/>
              <w:spacing w:after="0" w:line="202"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3"/>
                <w:szCs w:val="23"/>
                <w:b w:val="1"/>
                <w:bCs w:val="1"/>
                <w:color w:val="auto"/>
                <w:vertAlign w:val="superscript"/>
              </w:rPr>
              <w:t>(4)</w:t>
            </w:r>
          </w:p>
        </w:tc>
        <w:tc>
          <w:tcPr>
            <w:tcW w:w="940" w:type="dxa"/>
            <w:vAlign w:val="bottom"/>
            <w:shd w:val="clear" w:color="auto" w:fill="F1F2F2"/>
          </w:tcPr>
          <w:p>
            <w:pPr>
              <w:jc w:val="right"/>
              <w:spacing w:after="0" w:line="202" w:lineRule="exact"/>
              <w:rPr>
                <w:sz w:val="20"/>
                <w:szCs w:val="20"/>
                <w:color w:val="auto"/>
              </w:rPr>
            </w:pPr>
            <w:r>
              <w:rPr>
                <w:rFonts w:ascii="Arial" w:cs="Arial" w:eastAsia="Arial" w:hAnsi="Arial"/>
                <w:sz w:val="15"/>
                <w:szCs w:val="15"/>
                <w:b w:val="1"/>
                <w:bCs w:val="1"/>
                <w:color w:val="auto"/>
              </w:rPr>
              <w:t>Awards</w:t>
            </w:r>
            <w:r>
              <w:rPr>
                <w:rFonts w:ascii="Arial" w:cs="Arial" w:eastAsia="Arial" w:hAnsi="Arial"/>
                <w:sz w:val="23"/>
                <w:szCs w:val="23"/>
                <w:b w:val="1"/>
                <w:bCs w:val="1"/>
                <w:color w:val="auto"/>
                <w:vertAlign w:val="superscript"/>
              </w:rPr>
              <w:t>(5)</w:t>
            </w:r>
          </w:p>
        </w:tc>
        <w:tc>
          <w:tcPr>
            <w:tcW w:w="0" w:type="dxa"/>
            <w:vAlign w:val="bottom"/>
          </w:tcPr>
          <w:p>
            <w:pPr>
              <w:spacing w:after="0"/>
              <w:rPr>
                <w:sz w:val="1"/>
                <w:szCs w:val="1"/>
                <w:color w:val="auto"/>
              </w:rPr>
            </w:pPr>
          </w:p>
        </w:tc>
      </w:tr>
      <w:tr>
        <w:trPr>
          <w:trHeight w:val="229"/>
        </w:trPr>
        <w:tc>
          <w:tcPr>
            <w:tcW w:w="100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w:t>
            </w:r>
          </w:p>
        </w:tc>
        <w:tc>
          <w:tcPr>
            <w:tcW w:w="120" w:type="dxa"/>
            <w:vAlign w:val="bottom"/>
            <w:shd w:val="clear" w:color="auto" w:fill="F1F2F2"/>
          </w:tcPr>
          <w:p>
            <w:pPr>
              <w:spacing w:after="0"/>
              <w:rPr>
                <w:sz w:val="19"/>
                <w:szCs w:val="19"/>
                <w:color w:val="auto"/>
              </w:rPr>
            </w:pPr>
          </w:p>
        </w:tc>
        <w:tc>
          <w:tcPr>
            <w:tcW w:w="8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Award</w:t>
            </w:r>
          </w:p>
        </w:tc>
        <w:tc>
          <w:tcPr>
            <w:tcW w:w="7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Date</w:t>
            </w:r>
          </w:p>
        </w:tc>
        <w:tc>
          <w:tcPr>
            <w:tcW w:w="8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F1F2F2"/>
          </w:tcPr>
          <w:p>
            <w:pPr>
              <w:jc w:val="right"/>
              <w:ind w:right="12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w:t>
            </w:r>
          </w:p>
        </w:tc>
        <w:tc>
          <w:tcPr>
            <w:tcW w:w="620" w:type="dxa"/>
            <w:vAlign w:val="bottom"/>
            <w:gridSpan w:val="2"/>
            <w:shd w:val="clear" w:color="auto" w:fill="F1F2F2"/>
          </w:tcPr>
          <w:p>
            <w:pPr>
              <w:jc w:val="right"/>
              <w:ind w:right="120"/>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02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w:t>
            </w:r>
          </w:p>
        </w:tc>
        <w:tc>
          <w:tcPr>
            <w:tcW w:w="9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9"/>
        </w:trPr>
        <w:tc>
          <w:tcPr>
            <w:tcW w:w="1000" w:type="dxa"/>
            <w:vAlign w:val="bottom"/>
          </w:tcPr>
          <w:p>
            <w:pPr>
              <w:ind w:left="60"/>
              <w:spacing w:after="0"/>
              <w:rPr>
                <w:sz w:val="20"/>
                <w:szCs w:val="20"/>
                <w:color w:val="auto"/>
              </w:rPr>
            </w:pPr>
            <w:r>
              <w:rPr>
                <w:rFonts w:ascii="Arial" w:cs="Arial" w:eastAsia="Arial" w:hAnsi="Arial"/>
                <w:sz w:val="16"/>
                <w:szCs w:val="16"/>
                <w:b w:val="1"/>
                <w:bCs w:val="1"/>
                <w:color w:val="auto"/>
                <w:w w:val="99"/>
              </w:rPr>
              <w:t>GERBEN W.</w:t>
            </w:r>
          </w:p>
        </w:tc>
        <w:tc>
          <w:tcPr>
            <w:tcW w:w="120" w:type="dxa"/>
            <w:vAlign w:val="bottom"/>
          </w:tcPr>
          <w:p>
            <w:pPr>
              <w:spacing w:after="0"/>
              <w:rPr>
                <w:sz w:val="16"/>
                <w:szCs w:val="16"/>
                <w:color w:val="auto"/>
              </w:rPr>
            </w:pPr>
          </w:p>
        </w:tc>
        <w:tc>
          <w:tcPr>
            <w:tcW w:w="8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STI</w:t>
            </w:r>
          </w:p>
        </w:tc>
        <w:tc>
          <w:tcPr>
            <w:tcW w:w="74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747,500</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1,495,000</w:t>
            </w:r>
          </w:p>
        </w:tc>
        <w:tc>
          <w:tcPr>
            <w:tcW w:w="900" w:type="dxa"/>
            <w:vAlign w:val="bottom"/>
            <w:tcBorders>
              <w:bottom w:val="single" w:sz="8" w:color="BCBEC0"/>
            </w:tcBorders>
            <w:gridSpan w:val="2"/>
          </w:tcPr>
          <w:p>
            <w:pPr>
              <w:jc w:val="right"/>
              <w:ind w:right="120"/>
              <w:spacing w:after="0"/>
              <w:rPr>
                <w:sz w:val="20"/>
                <w:szCs w:val="20"/>
                <w:color w:val="auto"/>
              </w:rPr>
            </w:pPr>
            <w:r>
              <w:rPr>
                <w:rFonts w:ascii="Arial" w:cs="Arial" w:eastAsia="Arial" w:hAnsi="Arial"/>
                <w:sz w:val="16"/>
                <w:szCs w:val="16"/>
                <w:color w:val="auto"/>
              </w:rPr>
              <w:t>2,990,000</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BAKKER</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RS</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4,677</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1,838,809</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SAR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18,360</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1,838,754</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PS/RSG</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1,590</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3,180</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6,360</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1,211,548</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PS/OPM</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1,544</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3,087</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6,174</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1,176,116</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BCBEC0"/>
            </w:tcBorders>
          </w:tcPr>
          <w:p>
            <w:pPr>
              <w:spacing w:after="0"/>
              <w:rPr>
                <w:sz w:val="15"/>
                <w:szCs w:val="15"/>
                <w:color w:val="auto"/>
              </w:rPr>
            </w:pPr>
          </w:p>
        </w:tc>
        <w:tc>
          <w:tcPr>
            <w:tcW w:w="120" w:type="dxa"/>
            <w:vAlign w:val="bottom"/>
            <w:tcBorders>
              <w:bottom w:val="single" w:sz="8" w:color="BCBEC0"/>
            </w:tcBorders>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PS/TSR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1,544</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3,087</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6,174</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1,299,627</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WILLIAM R.</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STI</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375,000</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750,000</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1,500,000</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SPERRY</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RS</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2,544</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1,000,199</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SAR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9,986</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1,000,098</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PS/RSG</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433</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865</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1,730</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329,556</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PS/OPM</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420</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839</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1,678</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319,651</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BCBEC0"/>
            </w:tcBorders>
          </w:tcPr>
          <w:p>
            <w:pPr>
              <w:spacing w:after="0"/>
              <w:rPr>
                <w:sz w:val="15"/>
                <w:szCs w:val="15"/>
                <w:color w:val="auto"/>
              </w:rPr>
            </w:pPr>
          </w:p>
        </w:tc>
        <w:tc>
          <w:tcPr>
            <w:tcW w:w="120" w:type="dxa"/>
            <w:vAlign w:val="bottom"/>
            <w:tcBorders>
              <w:bottom w:val="single" w:sz="8" w:color="BCBEC0"/>
            </w:tcBorders>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PS/TSR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420</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839</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1,678</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353,219</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MARK E.</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STI</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238,125</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476,250</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952,500</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MIKES</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RS</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699</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274,819</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SAR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2,746</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275,012</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PS/RSG</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238</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476</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952</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181,351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PS/OPM</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231</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462</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924</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176,017</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BCBEC0"/>
            </w:tcBorders>
          </w:tcPr>
          <w:p>
            <w:pPr>
              <w:spacing w:after="0"/>
              <w:rPr>
                <w:sz w:val="15"/>
                <w:szCs w:val="15"/>
                <w:color w:val="auto"/>
              </w:rPr>
            </w:pPr>
          </w:p>
        </w:tc>
        <w:tc>
          <w:tcPr>
            <w:tcW w:w="120" w:type="dxa"/>
            <w:vAlign w:val="bottom"/>
            <w:tcBorders>
              <w:bottom w:val="single" w:sz="8" w:color="BCBEC0"/>
            </w:tcBorders>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PS/TSR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231</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461</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922</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194,081</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GREGORY</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STI</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241,875</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483,750</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967,500</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A. GUMBS</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RS</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699</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274,819</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SAR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2,746</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275,012</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PS/RSG</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238</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476</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952</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181,351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PS/OPM</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231</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462</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924</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176,017</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BCBEC0"/>
            </w:tcBorders>
          </w:tcPr>
          <w:p>
            <w:pPr>
              <w:spacing w:after="0"/>
              <w:rPr>
                <w:sz w:val="15"/>
                <w:szCs w:val="15"/>
                <w:color w:val="auto"/>
              </w:rPr>
            </w:pPr>
          </w:p>
        </w:tc>
        <w:tc>
          <w:tcPr>
            <w:tcW w:w="120" w:type="dxa"/>
            <w:vAlign w:val="bottom"/>
            <w:tcBorders>
              <w:bottom w:val="single" w:sz="8" w:color="BCBEC0"/>
            </w:tcBorders>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PS/TSR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231</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461</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922</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194,081</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w w:val="98"/>
              </w:rPr>
              <w:t>KATHERINE</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STI</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215,625</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431,250</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862,500</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10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A. LANE</w:t>
            </w: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RS</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699</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274,819</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SAR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2,746</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275,012</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PS/RSG</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238</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476</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952</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181,351</w:t>
            </w: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PS/OPM</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231</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462</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924</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176,017</w:t>
            </w:r>
          </w:p>
        </w:tc>
        <w:tc>
          <w:tcPr>
            <w:tcW w:w="0" w:type="dxa"/>
            <w:vAlign w:val="bottom"/>
          </w:tcPr>
          <w:p>
            <w:pPr>
              <w:spacing w:after="0"/>
              <w:rPr>
                <w:sz w:val="1"/>
                <w:szCs w:val="1"/>
                <w:color w:val="auto"/>
              </w:rPr>
            </w:pPr>
          </w:p>
        </w:tc>
      </w:tr>
      <w:tr>
        <w:trPr>
          <w:trHeight w:val="183"/>
        </w:trPr>
        <w:tc>
          <w:tcPr>
            <w:tcW w:w="1000" w:type="dxa"/>
            <w:vAlign w:val="bottom"/>
            <w:tcBorders>
              <w:bottom w:val="single" w:sz="8" w:color="BCBEC0"/>
            </w:tcBorders>
          </w:tcPr>
          <w:p>
            <w:pPr>
              <w:spacing w:after="0"/>
              <w:rPr>
                <w:sz w:val="15"/>
                <w:szCs w:val="15"/>
                <w:color w:val="auto"/>
              </w:rPr>
            </w:pPr>
          </w:p>
        </w:tc>
        <w:tc>
          <w:tcPr>
            <w:tcW w:w="120" w:type="dxa"/>
            <w:vAlign w:val="bottom"/>
            <w:tcBorders>
              <w:bottom w:val="single" w:sz="8" w:color="BCBEC0"/>
            </w:tcBorders>
          </w:tcPr>
          <w:p>
            <w:pPr>
              <w:spacing w:after="0"/>
              <w:rPr>
                <w:sz w:val="15"/>
                <w:szCs w:val="15"/>
                <w:color w:val="auto"/>
              </w:rPr>
            </w:pPr>
          </w:p>
        </w:tc>
        <w:tc>
          <w:tcPr>
            <w:tcW w:w="8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PS/TSR</w:t>
            </w:r>
          </w:p>
        </w:tc>
        <w:tc>
          <w:tcPr>
            <w:tcW w:w="7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2/18/25</w:t>
            </w: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231</w:t>
            </w:r>
          </w:p>
        </w:tc>
        <w:tc>
          <w:tcPr>
            <w:tcW w:w="66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461</w:t>
            </w:r>
          </w:p>
        </w:tc>
        <w:tc>
          <w:tcPr>
            <w:tcW w:w="620" w:type="dxa"/>
            <w:vAlign w:val="bottom"/>
            <w:tcBorders>
              <w:bottom w:val="single" w:sz="8" w:color="BCBEC0"/>
            </w:tcBorders>
            <w:gridSpan w:val="2"/>
          </w:tcPr>
          <w:p>
            <w:pPr>
              <w:jc w:val="right"/>
              <w:ind w:right="120"/>
              <w:spacing w:after="0" w:line="183" w:lineRule="exact"/>
              <w:rPr>
                <w:sz w:val="20"/>
                <w:szCs w:val="20"/>
                <w:color w:val="auto"/>
              </w:rPr>
            </w:pPr>
            <w:r>
              <w:rPr>
                <w:rFonts w:ascii="Arial" w:cs="Arial" w:eastAsia="Arial" w:hAnsi="Arial"/>
                <w:sz w:val="16"/>
                <w:szCs w:val="16"/>
                <w:color w:val="auto"/>
              </w:rPr>
              <w:t>922</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194,081</w:t>
            </w:r>
          </w:p>
        </w:tc>
        <w:tc>
          <w:tcPr>
            <w:tcW w:w="0" w:type="dxa"/>
            <w:vAlign w:val="bottom"/>
          </w:tcPr>
          <w:p>
            <w:pPr>
              <w:spacing w:after="0"/>
              <w:rPr>
                <w:sz w:val="1"/>
                <w:szCs w:val="1"/>
                <w:color w:val="auto"/>
              </w:rPr>
            </w:pPr>
          </w:p>
        </w:tc>
      </w:tr>
    </w:tbl>
    <w:p>
      <w:pPr>
        <w:spacing w:after="0" w:line="47" w:lineRule="exact"/>
        <w:rPr>
          <w:sz w:val="20"/>
          <w:szCs w:val="20"/>
          <w:color w:val="auto"/>
        </w:rPr>
      </w:pPr>
    </w:p>
    <w:p>
      <w:pPr>
        <w:jc w:val="both"/>
        <w:ind w:left="340" w:hanging="332"/>
        <w:spacing w:after="0" w:line="213" w:lineRule="auto"/>
        <w:tabs>
          <w:tab w:leader="none" w:pos="340" w:val="left"/>
        </w:tabs>
        <w:numPr>
          <w:ilvl w:val="0"/>
          <w:numId w:val="7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Estimated Future Payouts Under Non-Equity Incentive Plan Awards columns reflect the target, threshold, and maximum short-term incentive award opportunity for each of the NEOs under the Company’s Short-Term Incentive Plan. The NEOs are eligible for a payout within the threshold and maximum range depending upon several performance factors, such as earnings per share, operating profit improvement, free and operating cash flow, and strategic objectives. See the “Short-Term Incentive Compensation” section on pages 45-49.</w:t>
      </w:r>
    </w:p>
    <w:p>
      <w:pPr>
        <w:spacing w:after="0" w:line="157"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jc w:val="both"/>
        <w:ind w:left="340" w:hanging="332"/>
        <w:spacing w:after="0" w:line="213" w:lineRule="auto"/>
        <w:tabs>
          <w:tab w:leader="none" w:pos="340" w:val="left"/>
        </w:tabs>
        <w:numPr>
          <w:ilvl w:val="0"/>
          <w:numId w:val="7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Estimated Future Payouts Under Equity Incentive Plan Awards columns reflect the target number of performance shares (“PS”) awarded to the NEOs under the Equity Plan on February 18, 2025, and the threshold and maximum number of performance shares that may be earned. Performance shares are earned on three measures: (i) Relative Sales Growth (“RSG”), (ii) Adjusted Operating Profit Margin (“OPM”), and (iii) Relative Total Shareholder Return (“TSR”). The actual number of performance shares earned will be determined at the end of a three-year period. See the “Performance Share Awards” section on page 50.</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7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All Other Stock Awards and All Other Option Awards columns reflect the number of shares of Restricted Stock (“RS”) and Stock Appreciation Rights (“SARs”) awarded under the Equity Plan on February 18, 2025. SARs are subject to vesting in three equal annual installments on the anniversary of the grant date. Upon retirement, RS will vest in full. SARs and RS become fully vested upon death or disability.</w:t>
      </w:r>
    </w:p>
    <w:p>
      <w:pPr>
        <w:spacing w:after="0" w:line="29"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7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 reported in the Exercise or Base Price of Option Awards column reflects the mean between the high and low trading prices of Hubbell common stock on the trading day immediately preceding the date of grant, which was the fair market value of such stock as defined under the Equity Plan.</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7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Grant Date Fair Value of Stock and Option Awards column reflect the aggregate fair value of the RS and SARs granted to each NEO on February 18, 2025, based upon the probable outcome of performance conditions, as applicable, and disclosed in Note 17 within the Notes to the Consolidated Financial Statements in the Company’s 2025 Annual Report on Form 10-K filed with the SEC on February 12, 2026.</w:t>
      </w:r>
    </w:p>
    <w:p>
      <w:pPr>
        <w:spacing w:after="0" w:line="257" w:lineRule="exact"/>
        <w:rPr>
          <w:sz w:val="20"/>
          <w:szCs w:val="20"/>
          <w:color w:val="auto"/>
        </w:rPr>
      </w:pPr>
    </w:p>
    <w:p>
      <w:pPr>
        <w:spacing w:after="0"/>
        <w:rPr>
          <w:sz w:val="20"/>
          <w:szCs w:val="20"/>
          <w:color w:val="auto"/>
        </w:rPr>
      </w:pPr>
      <w:r>
        <w:rPr>
          <w:rFonts w:ascii="Arial" w:cs="Arial" w:eastAsia="Arial" w:hAnsi="Arial"/>
          <w:sz w:val="25"/>
          <w:szCs w:val="25"/>
          <w:color w:val="auto"/>
        </w:rPr>
        <w:t>Equity Award Plan Vesting Provisions - Grant Terms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describes the general terms of each of the equity incentive awards granted to the applicable NEOs on February 18,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82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Description</w:t>
            </w:r>
          </w:p>
        </w:tc>
        <w:tc>
          <w:tcPr>
            <w:tcW w:w="292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Restricted Stock</w:t>
            </w:r>
          </w:p>
        </w:tc>
        <w:tc>
          <w:tcPr>
            <w:tcW w:w="340" w:type="dxa"/>
            <w:vAlign w:val="bottom"/>
          </w:tcPr>
          <w:p>
            <w:pPr>
              <w:spacing w:after="0"/>
              <w:rPr>
                <w:sz w:val="16"/>
                <w:szCs w:val="16"/>
                <w:color w:val="auto"/>
              </w:rPr>
            </w:pPr>
          </w:p>
        </w:tc>
        <w:tc>
          <w:tcPr>
            <w:tcW w:w="292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Performance Shares</w:t>
            </w:r>
          </w:p>
        </w:tc>
        <w:tc>
          <w:tcPr>
            <w:tcW w:w="320" w:type="dxa"/>
            <w:vAlign w:val="bottom"/>
          </w:tcPr>
          <w:p>
            <w:pPr>
              <w:spacing w:after="0"/>
              <w:rPr>
                <w:sz w:val="16"/>
                <w:szCs w:val="16"/>
                <w:color w:val="auto"/>
              </w:rPr>
            </w:pPr>
          </w:p>
        </w:tc>
        <w:tc>
          <w:tcPr>
            <w:tcW w:w="292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Stock Appreciation Rights</w:t>
            </w:r>
          </w:p>
        </w:tc>
        <w:tc>
          <w:tcPr>
            <w:tcW w:w="0" w:type="dxa"/>
            <w:vAlign w:val="bottom"/>
          </w:tcPr>
          <w:p>
            <w:pPr>
              <w:spacing w:after="0"/>
              <w:rPr>
                <w:sz w:val="1"/>
                <w:szCs w:val="1"/>
                <w:color w:val="auto"/>
              </w:rPr>
            </w:pPr>
          </w:p>
        </w:tc>
      </w:tr>
      <w:tr>
        <w:trPr>
          <w:trHeight w:val="175"/>
        </w:trPr>
        <w:tc>
          <w:tcPr>
            <w:tcW w:w="1820" w:type="dxa"/>
            <w:vAlign w:val="bottom"/>
            <w:vMerge w:val="continue"/>
          </w:tcPr>
          <w:p>
            <w:pPr>
              <w:spacing w:after="0"/>
              <w:rPr>
                <w:sz w:val="15"/>
                <w:szCs w:val="15"/>
                <w:color w:val="auto"/>
              </w:rPr>
            </w:pPr>
          </w:p>
        </w:tc>
        <w:tc>
          <w:tcPr>
            <w:tcW w:w="2920" w:type="dxa"/>
            <w:vAlign w:val="bottom"/>
          </w:tcPr>
          <w:p>
            <w:pPr>
              <w:ind w:left="60"/>
              <w:spacing w:after="0" w:line="175" w:lineRule="exact"/>
              <w:rPr>
                <w:sz w:val="20"/>
                <w:szCs w:val="20"/>
                <w:color w:val="auto"/>
              </w:rPr>
            </w:pPr>
            <w:r>
              <w:rPr>
                <w:rFonts w:ascii="Arial" w:cs="Arial" w:eastAsia="Arial" w:hAnsi="Arial"/>
                <w:sz w:val="16"/>
                <w:szCs w:val="16"/>
                <w:color w:val="auto"/>
              </w:rPr>
              <w:t>A grant of a number of shares subject</w:t>
            </w:r>
          </w:p>
        </w:tc>
        <w:tc>
          <w:tcPr>
            <w:tcW w:w="340" w:type="dxa"/>
            <w:vAlign w:val="bottom"/>
          </w:tcPr>
          <w:p>
            <w:pPr>
              <w:spacing w:after="0"/>
              <w:rPr>
                <w:sz w:val="15"/>
                <w:szCs w:val="15"/>
                <w:color w:val="auto"/>
              </w:rPr>
            </w:pPr>
          </w:p>
        </w:tc>
        <w:tc>
          <w:tcPr>
            <w:tcW w:w="2920" w:type="dxa"/>
            <w:vAlign w:val="bottom"/>
          </w:tcPr>
          <w:p>
            <w:pPr>
              <w:ind w:left="60"/>
              <w:spacing w:after="0" w:line="175" w:lineRule="exact"/>
              <w:rPr>
                <w:sz w:val="20"/>
                <w:szCs w:val="20"/>
                <w:color w:val="auto"/>
              </w:rPr>
            </w:pPr>
            <w:r>
              <w:rPr>
                <w:rFonts w:ascii="Arial" w:cs="Arial" w:eastAsia="Arial" w:hAnsi="Arial"/>
                <w:sz w:val="16"/>
                <w:szCs w:val="16"/>
                <w:color w:val="auto"/>
              </w:rPr>
              <w:t>Right to receive a number of shares on</w:t>
            </w:r>
          </w:p>
        </w:tc>
        <w:tc>
          <w:tcPr>
            <w:tcW w:w="320" w:type="dxa"/>
            <w:vAlign w:val="bottom"/>
          </w:tcPr>
          <w:p>
            <w:pPr>
              <w:spacing w:after="0"/>
              <w:rPr>
                <w:sz w:val="15"/>
                <w:szCs w:val="15"/>
                <w:color w:val="auto"/>
              </w:rPr>
            </w:pPr>
          </w:p>
        </w:tc>
        <w:tc>
          <w:tcPr>
            <w:tcW w:w="2920" w:type="dxa"/>
            <w:vAlign w:val="bottom"/>
          </w:tcPr>
          <w:p>
            <w:pPr>
              <w:ind w:left="60"/>
              <w:spacing w:after="0" w:line="175" w:lineRule="exact"/>
              <w:rPr>
                <w:sz w:val="20"/>
                <w:szCs w:val="20"/>
                <w:color w:val="auto"/>
              </w:rPr>
            </w:pPr>
            <w:r>
              <w:rPr>
                <w:rFonts w:ascii="Arial" w:cs="Arial" w:eastAsia="Arial" w:hAnsi="Arial"/>
                <w:sz w:val="16"/>
                <w:szCs w:val="16"/>
                <w:color w:val="auto"/>
              </w:rPr>
              <w:t>Right to receive, in stock, the</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to forfeiture if not vested.</w:t>
            </w:r>
          </w:p>
        </w:tc>
        <w:tc>
          <w:tcPr>
            <w:tcW w:w="34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the three-year anniversary of the grant</w:t>
            </w:r>
          </w:p>
        </w:tc>
        <w:tc>
          <w:tcPr>
            <w:tcW w:w="32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appreciation in value between the</w:t>
            </w:r>
          </w:p>
        </w:tc>
        <w:tc>
          <w:tcPr>
            <w:tcW w:w="0" w:type="dxa"/>
            <w:vAlign w:val="bottom"/>
          </w:tcPr>
          <w:p>
            <w:pPr>
              <w:spacing w:after="0"/>
              <w:rPr>
                <w:sz w:val="1"/>
                <w:szCs w:val="1"/>
                <w:color w:val="auto"/>
              </w:rPr>
            </w:pPr>
          </w:p>
        </w:tc>
      </w:tr>
      <w:tr>
        <w:trPr>
          <w:trHeight w:val="189"/>
        </w:trPr>
        <w:tc>
          <w:tcPr>
            <w:tcW w:w="18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date subject to meeting performance</w:t>
            </w:r>
          </w:p>
        </w:tc>
        <w:tc>
          <w:tcPr>
            <w:tcW w:w="320" w:type="dxa"/>
            <w:vAlign w:val="bottom"/>
          </w:tcPr>
          <w:p>
            <w:pPr>
              <w:spacing w:after="0"/>
              <w:rPr>
                <w:sz w:val="16"/>
                <w:szCs w:val="16"/>
                <w:color w:val="auto"/>
              </w:rPr>
            </w:pPr>
          </w:p>
        </w:tc>
        <w:tc>
          <w:tcPr>
            <w:tcW w:w="2920" w:type="dxa"/>
            <w:vAlign w:val="bottom"/>
          </w:tcPr>
          <w:p>
            <w:pPr>
              <w:ind w:left="60"/>
              <w:spacing w:after="0"/>
              <w:rPr>
                <w:sz w:val="20"/>
                <w:szCs w:val="20"/>
                <w:color w:val="auto"/>
              </w:rPr>
            </w:pPr>
            <w:r>
              <w:rPr>
                <w:rFonts w:ascii="Arial" w:cs="Arial" w:eastAsia="Arial" w:hAnsi="Arial"/>
                <w:sz w:val="16"/>
                <w:szCs w:val="16"/>
                <w:color w:val="auto"/>
              </w:rPr>
              <w:t>stock price on the date of grant and</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BCBEC0"/>
            </w:tcBorders>
          </w:tcPr>
          <w:p>
            <w:pPr>
              <w:spacing w:after="0"/>
              <w:rPr>
                <w:sz w:val="17"/>
                <w:szCs w:val="17"/>
                <w:color w:val="auto"/>
              </w:rPr>
            </w:pPr>
          </w:p>
        </w:tc>
        <w:tc>
          <w:tcPr>
            <w:tcW w:w="2920" w:type="dxa"/>
            <w:vAlign w:val="bottom"/>
            <w:tcBorders>
              <w:bottom w:val="single" w:sz="8" w:color="BCBEC0"/>
            </w:tcBorders>
          </w:tcPr>
          <w:p>
            <w:pPr>
              <w:spacing w:after="0"/>
              <w:rPr>
                <w:sz w:val="17"/>
                <w:szCs w:val="17"/>
                <w:color w:val="auto"/>
              </w:rPr>
            </w:pPr>
          </w:p>
        </w:tc>
        <w:tc>
          <w:tcPr>
            <w:tcW w:w="340" w:type="dxa"/>
            <w:vAlign w:val="bottom"/>
            <w:tcBorders>
              <w:bottom w:val="single" w:sz="8" w:color="BCBEC0"/>
            </w:tcBorders>
          </w:tcPr>
          <w:p>
            <w:pPr>
              <w:spacing w:after="0"/>
              <w:rPr>
                <w:sz w:val="17"/>
                <w:szCs w:val="17"/>
                <w:color w:val="auto"/>
              </w:rPr>
            </w:pPr>
          </w:p>
        </w:tc>
        <w:tc>
          <w:tcPr>
            <w:tcW w:w="29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goals.</w:t>
            </w:r>
          </w:p>
        </w:tc>
        <w:tc>
          <w:tcPr>
            <w:tcW w:w="320" w:type="dxa"/>
            <w:vAlign w:val="bottom"/>
            <w:tcBorders>
              <w:bottom w:val="single" w:sz="8" w:color="BCBEC0"/>
            </w:tcBorders>
          </w:tcPr>
          <w:p>
            <w:pPr>
              <w:spacing w:after="0"/>
              <w:rPr>
                <w:sz w:val="17"/>
                <w:szCs w:val="17"/>
                <w:color w:val="auto"/>
              </w:rPr>
            </w:pPr>
          </w:p>
        </w:tc>
        <w:tc>
          <w:tcPr>
            <w:tcW w:w="29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date of exercise.</w:t>
            </w:r>
          </w:p>
        </w:tc>
        <w:tc>
          <w:tcPr>
            <w:tcW w:w="0" w:type="dxa"/>
            <w:vAlign w:val="bottom"/>
          </w:tcPr>
          <w:p>
            <w:pPr>
              <w:spacing w:after="0"/>
              <w:rPr>
                <w:sz w:val="1"/>
                <w:szCs w:val="1"/>
                <w:color w:val="auto"/>
              </w:rPr>
            </w:pPr>
          </w:p>
        </w:tc>
      </w:tr>
      <w:tr>
        <w:trPr>
          <w:trHeight w:val="183"/>
        </w:trPr>
        <w:tc>
          <w:tcPr>
            <w:tcW w:w="18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Abbreviation</w:t>
            </w:r>
          </w:p>
        </w:tc>
        <w:tc>
          <w:tcPr>
            <w:tcW w:w="2920" w:type="dxa"/>
            <w:vAlign w:val="bottom"/>
            <w:tcBorders>
              <w:bottom w:val="single" w:sz="8" w:color="BCBEC0"/>
            </w:tcBorders>
          </w:tcPr>
          <w:p>
            <w:pPr>
              <w:ind w:left="1340"/>
              <w:spacing w:after="0" w:line="183" w:lineRule="exact"/>
              <w:rPr>
                <w:sz w:val="20"/>
                <w:szCs w:val="20"/>
                <w:color w:val="auto"/>
              </w:rPr>
            </w:pPr>
            <w:r>
              <w:rPr>
                <w:rFonts w:ascii="Arial" w:cs="Arial" w:eastAsia="Arial" w:hAnsi="Arial"/>
                <w:sz w:val="16"/>
                <w:szCs w:val="16"/>
                <w:color w:val="auto"/>
              </w:rPr>
              <w:t>RS</w:t>
            </w:r>
          </w:p>
        </w:tc>
        <w:tc>
          <w:tcPr>
            <w:tcW w:w="340" w:type="dxa"/>
            <w:vAlign w:val="bottom"/>
            <w:tcBorders>
              <w:bottom w:val="single" w:sz="8" w:color="BCBEC0"/>
            </w:tcBorders>
          </w:tcPr>
          <w:p>
            <w:pPr>
              <w:spacing w:after="0"/>
              <w:rPr>
                <w:sz w:val="15"/>
                <w:szCs w:val="15"/>
                <w:color w:val="auto"/>
              </w:rPr>
            </w:pPr>
          </w:p>
        </w:tc>
        <w:tc>
          <w:tcPr>
            <w:tcW w:w="2920" w:type="dxa"/>
            <w:vAlign w:val="bottom"/>
            <w:tcBorders>
              <w:bottom w:val="single" w:sz="8" w:color="BCBEC0"/>
            </w:tcBorders>
          </w:tcPr>
          <w:p>
            <w:pPr>
              <w:ind w:left="1360"/>
              <w:spacing w:after="0" w:line="183" w:lineRule="exact"/>
              <w:rPr>
                <w:sz w:val="20"/>
                <w:szCs w:val="20"/>
                <w:color w:val="auto"/>
              </w:rPr>
            </w:pPr>
            <w:r>
              <w:rPr>
                <w:rFonts w:ascii="Arial" w:cs="Arial" w:eastAsia="Arial" w:hAnsi="Arial"/>
                <w:sz w:val="16"/>
                <w:szCs w:val="16"/>
                <w:color w:val="auto"/>
              </w:rPr>
              <w:t>PS</w:t>
            </w:r>
          </w:p>
        </w:tc>
        <w:tc>
          <w:tcPr>
            <w:tcW w:w="320" w:type="dxa"/>
            <w:vAlign w:val="bottom"/>
            <w:tcBorders>
              <w:bottom w:val="single" w:sz="8" w:color="BCBEC0"/>
            </w:tcBorders>
          </w:tcPr>
          <w:p>
            <w:pPr>
              <w:spacing w:after="0"/>
              <w:rPr>
                <w:sz w:val="15"/>
                <w:szCs w:val="15"/>
                <w:color w:val="auto"/>
              </w:rPr>
            </w:pPr>
          </w:p>
        </w:tc>
        <w:tc>
          <w:tcPr>
            <w:tcW w:w="2920" w:type="dxa"/>
            <w:vAlign w:val="bottom"/>
            <w:tcBorders>
              <w:bottom w:val="single" w:sz="8" w:color="BCBEC0"/>
            </w:tcBorders>
          </w:tcPr>
          <w:p>
            <w:pPr>
              <w:ind w:left="1260"/>
              <w:spacing w:after="0" w:line="183" w:lineRule="exact"/>
              <w:rPr>
                <w:sz w:val="20"/>
                <w:szCs w:val="20"/>
                <w:color w:val="auto"/>
              </w:rPr>
            </w:pPr>
            <w:r>
              <w:rPr>
                <w:rFonts w:ascii="Arial" w:cs="Arial" w:eastAsia="Arial" w:hAnsi="Arial"/>
                <w:sz w:val="16"/>
                <w:szCs w:val="16"/>
                <w:color w:val="auto"/>
              </w:rPr>
              <w:t>SARs</w:t>
            </w:r>
          </w:p>
        </w:tc>
        <w:tc>
          <w:tcPr>
            <w:tcW w:w="0" w:type="dxa"/>
            <w:vAlign w:val="bottom"/>
          </w:tcPr>
          <w:p>
            <w:pPr>
              <w:spacing w:after="0"/>
              <w:rPr>
                <w:sz w:val="1"/>
                <w:szCs w:val="1"/>
                <w:color w:val="auto"/>
              </w:rPr>
            </w:pPr>
          </w:p>
        </w:tc>
      </w:tr>
      <w:tr>
        <w:trPr>
          <w:trHeight w:val="168"/>
        </w:trPr>
        <w:tc>
          <w:tcPr>
            <w:tcW w:w="182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Vesting Period</w:t>
            </w:r>
          </w:p>
        </w:tc>
        <w:tc>
          <w:tcPr>
            <w:tcW w:w="2920" w:type="dxa"/>
            <w:vAlign w:val="bottom"/>
          </w:tcPr>
          <w:p>
            <w:pPr>
              <w:ind w:left="60"/>
              <w:spacing w:after="0" w:line="168" w:lineRule="exact"/>
              <w:rPr>
                <w:sz w:val="20"/>
                <w:szCs w:val="20"/>
                <w:color w:val="auto"/>
              </w:rPr>
            </w:pPr>
            <w:r>
              <w:rPr>
                <w:rFonts w:ascii="Arial" w:cs="Arial" w:eastAsia="Arial" w:hAnsi="Arial"/>
                <w:sz w:val="16"/>
                <w:szCs w:val="16"/>
                <w:color w:val="auto"/>
              </w:rPr>
              <w:t>3-year cliff vesting on the anniversary</w:t>
            </w:r>
          </w:p>
        </w:tc>
        <w:tc>
          <w:tcPr>
            <w:tcW w:w="340" w:type="dxa"/>
            <w:vAlign w:val="bottom"/>
          </w:tcPr>
          <w:p>
            <w:pPr>
              <w:spacing w:after="0"/>
              <w:rPr>
                <w:sz w:val="14"/>
                <w:szCs w:val="14"/>
                <w:color w:val="auto"/>
              </w:rPr>
            </w:pPr>
          </w:p>
        </w:tc>
        <w:tc>
          <w:tcPr>
            <w:tcW w:w="2920" w:type="dxa"/>
            <w:vAlign w:val="bottom"/>
          </w:tcPr>
          <w:p>
            <w:pPr>
              <w:ind w:left="60"/>
              <w:spacing w:after="0" w:line="168" w:lineRule="exact"/>
              <w:rPr>
                <w:sz w:val="20"/>
                <w:szCs w:val="20"/>
                <w:color w:val="auto"/>
              </w:rPr>
            </w:pPr>
            <w:r>
              <w:rPr>
                <w:rFonts w:ascii="Arial" w:cs="Arial" w:eastAsia="Arial" w:hAnsi="Arial"/>
                <w:sz w:val="16"/>
                <w:szCs w:val="16"/>
                <w:color w:val="auto"/>
              </w:rPr>
              <w:t>3-year cliff vesting on attainment of</w:t>
            </w:r>
          </w:p>
        </w:tc>
        <w:tc>
          <w:tcPr>
            <w:tcW w:w="320" w:type="dxa"/>
            <w:vAlign w:val="bottom"/>
          </w:tcPr>
          <w:p>
            <w:pPr>
              <w:spacing w:after="0"/>
              <w:rPr>
                <w:sz w:val="14"/>
                <w:szCs w:val="14"/>
                <w:color w:val="auto"/>
              </w:rPr>
            </w:pPr>
          </w:p>
        </w:tc>
        <w:tc>
          <w:tcPr>
            <w:tcW w:w="2920" w:type="dxa"/>
            <w:vAlign w:val="bottom"/>
          </w:tcPr>
          <w:p>
            <w:pPr>
              <w:ind w:left="60"/>
              <w:spacing w:after="0" w:line="168" w:lineRule="exact"/>
              <w:rPr>
                <w:sz w:val="20"/>
                <w:szCs w:val="20"/>
                <w:color w:val="auto"/>
              </w:rPr>
            </w:pPr>
            <w:r>
              <w:rPr>
                <w:rFonts w:ascii="Arial" w:cs="Arial" w:eastAsia="Arial" w:hAnsi="Arial"/>
                <w:sz w:val="16"/>
                <w:szCs w:val="16"/>
                <w:color w:val="auto"/>
              </w:rPr>
              <w:t>1/3 per year on the anniversary of the</w:t>
            </w:r>
          </w:p>
        </w:tc>
        <w:tc>
          <w:tcPr>
            <w:tcW w:w="0" w:type="dxa"/>
            <w:vAlign w:val="bottom"/>
          </w:tcPr>
          <w:p>
            <w:pPr>
              <w:spacing w:after="0"/>
              <w:rPr>
                <w:sz w:val="1"/>
                <w:szCs w:val="1"/>
                <w:color w:val="auto"/>
              </w:rPr>
            </w:pPr>
          </w:p>
        </w:tc>
      </w:tr>
      <w:tr>
        <w:trPr>
          <w:trHeight w:val="244"/>
        </w:trPr>
        <w:tc>
          <w:tcPr>
            <w:tcW w:w="1820" w:type="dxa"/>
            <w:vAlign w:val="bottom"/>
            <w:tcBorders>
              <w:bottom w:val="single" w:sz="8" w:color="BCBEC0"/>
            </w:tcBorders>
          </w:tcPr>
          <w:p>
            <w:pPr>
              <w:spacing w:after="0"/>
              <w:rPr>
                <w:sz w:val="21"/>
                <w:szCs w:val="21"/>
                <w:color w:val="auto"/>
              </w:rPr>
            </w:pPr>
          </w:p>
        </w:tc>
        <w:tc>
          <w:tcPr>
            <w:tcW w:w="2920" w:type="dxa"/>
            <w:vAlign w:val="bottom"/>
            <w:tcBorders>
              <w:bottom w:val="single" w:sz="8" w:color="BCBEC0"/>
            </w:tcBorders>
          </w:tcPr>
          <w:p>
            <w:pPr>
              <w:ind w:left="60"/>
              <w:spacing w:after="0" w:line="243" w:lineRule="exact"/>
              <w:rPr>
                <w:sz w:val="20"/>
                <w:szCs w:val="20"/>
                <w:color w:val="auto"/>
              </w:rPr>
            </w:pPr>
            <w:r>
              <w:rPr>
                <w:rFonts w:ascii="Arial" w:cs="Arial" w:eastAsia="Arial" w:hAnsi="Arial"/>
                <w:sz w:val="16"/>
                <w:szCs w:val="16"/>
                <w:color w:val="auto"/>
              </w:rPr>
              <w:t>of the grant date</w:t>
            </w:r>
            <w:r>
              <w:rPr>
                <w:rFonts w:ascii="Arial" w:cs="Arial" w:eastAsia="Arial" w:hAnsi="Arial"/>
                <w:sz w:val="26"/>
                <w:szCs w:val="26"/>
                <w:color w:val="auto"/>
                <w:vertAlign w:val="superscript"/>
              </w:rPr>
              <w:t>(1)</w:t>
            </w:r>
            <w:r>
              <w:rPr>
                <w:rFonts w:ascii="Arial" w:cs="Arial" w:eastAsia="Arial" w:hAnsi="Arial"/>
                <w:sz w:val="16"/>
                <w:szCs w:val="16"/>
                <w:color w:val="auto"/>
              </w:rPr>
              <w:t>.</w:t>
            </w:r>
          </w:p>
        </w:tc>
        <w:tc>
          <w:tcPr>
            <w:tcW w:w="340" w:type="dxa"/>
            <w:vAlign w:val="bottom"/>
            <w:tcBorders>
              <w:bottom w:val="single" w:sz="8" w:color="BCBEC0"/>
            </w:tcBorders>
          </w:tcPr>
          <w:p>
            <w:pPr>
              <w:spacing w:after="0"/>
              <w:rPr>
                <w:sz w:val="21"/>
                <w:szCs w:val="21"/>
                <w:color w:val="auto"/>
              </w:rPr>
            </w:pPr>
          </w:p>
        </w:tc>
        <w:tc>
          <w:tcPr>
            <w:tcW w:w="29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three stated performance measures.</w:t>
            </w:r>
          </w:p>
        </w:tc>
        <w:tc>
          <w:tcPr>
            <w:tcW w:w="320" w:type="dxa"/>
            <w:vAlign w:val="bottom"/>
            <w:tcBorders>
              <w:bottom w:val="single" w:sz="8" w:color="BCBEC0"/>
            </w:tcBorders>
          </w:tcPr>
          <w:p>
            <w:pPr>
              <w:spacing w:after="0"/>
              <w:rPr>
                <w:sz w:val="21"/>
                <w:szCs w:val="21"/>
                <w:color w:val="auto"/>
              </w:rPr>
            </w:pPr>
          </w:p>
        </w:tc>
        <w:tc>
          <w:tcPr>
            <w:tcW w:w="29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grant date.</w:t>
            </w:r>
          </w:p>
        </w:tc>
        <w:tc>
          <w:tcPr>
            <w:tcW w:w="0" w:type="dxa"/>
            <w:vAlign w:val="bottom"/>
          </w:tcPr>
          <w:p>
            <w:pPr>
              <w:spacing w:after="0"/>
              <w:rPr>
                <w:sz w:val="1"/>
                <w:szCs w:val="1"/>
                <w:color w:val="auto"/>
              </w:rPr>
            </w:pPr>
          </w:p>
        </w:tc>
      </w:tr>
    </w:tbl>
    <w:p>
      <w:pPr>
        <w:ind w:left="340" w:hanging="332"/>
        <w:spacing w:after="0" w:line="204" w:lineRule="auto"/>
        <w:tabs>
          <w:tab w:leader="none" w:pos="340" w:val="left"/>
        </w:tabs>
        <w:numPr>
          <w:ilvl w:val="0"/>
          <w:numId w:val="7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vesting period for restricted stock is generally three years except in limited instances for retention or for talent acquisition purposes.</w:t>
      </w:r>
    </w:p>
    <w:p>
      <w:pPr>
        <w:spacing w:after="0" w:line="256" w:lineRule="exact"/>
        <w:rPr>
          <w:sz w:val="20"/>
          <w:szCs w:val="20"/>
          <w:color w:val="auto"/>
        </w:rPr>
      </w:pPr>
    </w:p>
    <w:p>
      <w:pPr>
        <w:spacing w:after="0"/>
        <w:rPr>
          <w:sz w:val="20"/>
          <w:szCs w:val="20"/>
          <w:color w:val="auto"/>
        </w:rPr>
      </w:pPr>
      <w:r>
        <w:rPr>
          <w:rFonts w:ascii="Arial" w:cs="Arial" w:eastAsia="Arial" w:hAnsi="Arial"/>
          <w:sz w:val="25"/>
          <w:szCs w:val="25"/>
          <w:color w:val="auto"/>
        </w:rPr>
        <w:t>Equity Award Grant Practices</w:t>
      </w:r>
    </w:p>
    <w:p>
      <w:pPr>
        <w:spacing w:after="0" w:line="20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Hubbell’s Compensation Committee follows a comprehensive process for granting equity awards, including with respect to the timing of such awards. The Compensation Committee’s practice is to grant all equity awards, including SARS, on a predetermined schedule. In the first quarter of any new fiscal year, typically in February, the Compensation Committee approves, after review and benchmarking with its outside compensation consultant, Exequity, the executive compensation program design, including the value and amount of the SARs to be awarded to executive officers. We have not timed the disclosure of material non-public information for the purposes of affecting the value of executive compensation. We currently grant SARs for a fiscal year outside of the period that is four business days before to one business day after the filing of Hubbell’s Annual Report on Form 10-K for the fiscal year, or the filing of any of the Company’s Quarterly Reports on Form 10-Q, or the filing or furnishing of any Current Report on Form 8-K that discloses material nonpublic information. In certain circumstances, including the hiring or promotion of an officer, the Compensation Committee may approve grants to be effective at other times. These “off cycle” awards are granted only on a limited basis. During fiscal 2025, we did not grant any stock options (or similar awards), including SARs, to any of our Named Executive Officers during any period beginning four business days before and ending one business day after the filing of any periodic report on Form 10-Q or Form 10-K, or the filing or furnishing of any Form 8-K that disclosed any material non-public information.</w:t>
      </w:r>
    </w:p>
    <w:p>
      <w:pPr>
        <w:spacing w:after="0" w:line="16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60</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Option Exercises and Stock Vested During Fiscal Year 2025</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provides information on the number of shares acquired and the value realized by the NEOs during fiscal year 2025 on the exercise of SARs and on the vesting of restricted stock and performance shares.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5860" w:type="dxa"/>
            <w:vAlign w:val="bottom"/>
            <w:tcBorders>
              <w:top w:val="single" w:sz="8" w:color="FFE933"/>
            </w:tcBorders>
            <w:shd w:val="clear" w:color="auto" w:fill="F1F2F2"/>
          </w:tcPr>
          <w:p>
            <w:pPr>
              <w:spacing w:after="0"/>
              <w:rPr>
                <w:sz w:val="24"/>
                <w:szCs w:val="24"/>
                <w:color w:val="auto"/>
              </w:rPr>
            </w:pPr>
          </w:p>
        </w:tc>
        <w:tc>
          <w:tcPr>
            <w:tcW w:w="220" w:type="dxa"/>
            <w:vAlign w:val="bottom"/>
            <w:tcBorders>
              <w:top w:val="single" w:sz="8" w:color="FFE933"/>
            </w:tcBorders>
            <w:shd w:val="clear" w:color="auto" w:fill="F1F2F2"/>
          </w:tcPr>
          <w:p>
            <w:pPr>
              <w:spacing w:after="0"/>
              <w:rPr>
                <w:sz w:val="24"/>
                <w:szCs w:val="24"/>
                <w:color w:val="auto"/>
              </w:rPr>
            </w:pPr>
          </w:p>
        </w:tc>
        <w:tc>
          <w:tcPr>
            <w:tcW w:w="2700" w:type="dxa"/>
            <w:vAlign w:val="bottom"/>
            <w:tcBorders>
              <w:top w:val="single" w:sz="8" w:color="FFE933"/>
            </w:tcBorders>
            <w:gridSpan w:val="3"/>
            <w:shd w:val="clear" w:color="auto" w:fill="F1F2F2"/>
          </w:tcPr>
          <w:p>
            <w:pPr>
              <w:jc w:val="right"/>
              <w:ind w:right="800"/>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6"/>
                <w:szCs w:val="26"/>
                <w:b w:val="1"/>
                <w:bCs w:val="1"/>
                <w:color w:val="auto"/>
                <w:vertAlign w:val="superscript"/>
              </w:rPr>
              <w:t>(1)</w:t>
            </w:r>
          </w:p>
        </w:tc>
        <w:tc>
          <w:tcPr>
            <w:tcW w:w="2460" w:type="dxa"/>
            <w:vAlign w:val="bottom"/>
            <w:tcBorders>
              <w:top w:val="single" w:sz="8" w:color="FFE933"/>
            </w:tcBorders>
            <w:gridSpan w:val="2"/>
            <w:shd w:val="clear" w:color="auto" w:fill="F1F2F2"/>
          </w:tcPr>
          <w:p>
            <w:pPr>
              <w:jc w:val="right"/>
              <w:ind w:right="620"/>
              <w:spacing w:after="0"/>
              <w:rPr>
                <w:sz w:val="20"/>
                <w:szCs w:val="20"/>
                <w:color w:val="auto"/>
              </w:rPr>
            </w:pPr>
            <w:r>
              <w:rPr>
                <w:rFonts w:ascii="Arial" w:cs="Arial" w:eastAsia="Arial" w:hAnsi="Arial"/>
                <w:sz w:val="16"/>
                <w:szCs w:val="16"/>
                <w:b w:val="1"/>
                <w:bCs w:val="1"/>
                <w:color w:val="auto"/>
              </w:rPr>
              <w:t>Stock Awards</w:t>
            </w:r>
          </w:p>
        </w:tc>
      </w:tr>
      <w:tr>
        <w:trPr>
          <w:trHeight w:val="175"/>
        </w:trPr>
        <w:tc>
          <w:tcPr>
            <w:tcW w:w="5860" w:type="dxa"/>
            <w:vAlign w:val="bottom"/>
            <w:tcBorders>
              <w:top w:val="single" w:sz="8" w:color="F1F2F2"/>
            </w:tcBorders>
            <w:shd w:val="clear" w:color="auto" w:fill="F1F2F2"/>
          </w:tcPr>
          <w:p>
            <w:pPr>
              <w:spacing w:after="0"/>
              <w:rPr>
                <w:sz w:val="15"/>
                <w:szCs w:val="15"/>
                <w:color w:val="auto"/>
              </w:rPr>
            </w:pPr>
          </w:p>
        </w:tc>
        <w:tc>
          <w:tcPr>
            <w:tcW w:w="220" w:type="dxa"/>
            <w:vAlign w:val="bottom"/>
            <w:tcBorders>
              <w:top w:val="single" w:sz="8" w:color="F1F2F2"/>
            </w:tcBorders>
            <w:shd w:val="clear" w:color="auto" w:fill="F1F2F2"/>
          </w:tcPr>
          <w:p>
            <w:pPr>
              <w:spacing w:after="0"/>
              <w:rPr>
                <w:sz w:val="15"/>
                <w:szCs w:val="15"/>
                <w:color w:val="auto"/>
              </w:rPr>
            </w:pPr>
          </w:p>
        </w:tc>
        <w:tc>
          <w:tcPr>
            <w:tcW w:w="1240" w:type="dxa"/>
            <w:vAlign w:val="bottom"/>
            <w:tcBorders>
              <w:top w:val="single" w:sz="8" w:color="FFE933"/>
            </w:tcBorders>
            <w:shd w:val="clear" w:color="auto" w:fill="F1F2F2"/>
          </w:tcPr>
          <w:p>
            <w:pPr>
              <w:jc w:val="right"/>
              <w:ind w:right="19"/>
              <w:spacing w:after="0" w:line="175" w:lineRule="exact"/>
              <w:rPr>
                <w:sz w:val="20"/>
                <w:szCs w:val="20"/>
                <w:color w:val="auto"/>
              </w:rPr>
            </w:pPr>
            <w:r>
              <w:rPr>
                <w:rFonts w:ascii="Arial" w:cs="Arial" w:eastAsia="Arial" w:hAnsi="Arial"/>
                <w:sz w:val="16"/>
                <w:szCs w:val="16"/>
                <w:b w:val="1"/>
                <w:bCs w:val="1"/>
                <w:color w:val="auto"/>
              </w:rPr>
              <w:t>No. of Shares</w:t>
            </w:r>
          </w:p>
        </w:tc>
        <w:tc>
          <w:tcPr>
            <w:tcW w:w="1240" w:type="dxa"/>
            <w:vAlign w:val="bottom"/>
            <w:tcBorders>
              <w:top w:val="single" w:sz="8" w:color="FFE933"/>
            </w:tcBorders>
            <w:shd w:val="clear" w:color="auto" w:fill="F1F2F2"/>
          </w:tcPr>
          <w:p>
            <w:pPr>
              <w:spacing w:after="0"/>
              <w:rPr>
                <w:sz w:val="15"/>
                <w:szCs w:val="15"/>
                <w:color w:val="auto"/>
              </w:rPr>
            </w:pPr>
          </w:p>
        </w:tc>
        <w:tc>
          <w:tcPr>
            <w:tcW w:w="220" w:type="dxa"/>
            <w:vAlign w:val="bottom"/>
            <w:tcBorders>
              <w:top w:val="single" w:sz="8" w:color="F1F2F2"/>
            </w:tcBorders>
            <w:shd w:val="clear" w:color="auto" w:fill="F1F2F2"/>
          </w:tcPr>
          <w:p>
            <w:pPr>
              <w:spacing w:after="0"/>
              <w:rPr>
                <w:sz w:val="15"/>
                <w:szCs w:val="15"/>
                <w:color w:val="auto"/>
              </w:rPr>
            </w:pPr>
          </w:p>
        </w:tc>
        <w:tc>
          <w:tcPr>
            <w:tcW w:w="1240" w:type="dxa"/>
            <w:vAlign w:val="bottom"/>
            <w:tcBorders>
              <w:top w:val="single" w:sz="8" w:color="FFE933"/>
            </w:tcBorders>
            <w:shd w:val="clear" w:color="auto" w:fill="F1F2F2"/>
          </w:tcPr>
          <w:p>
            <w:pPr>
              <w:jc w:val="right"/>
              <w:ind w:right="39"/>
              <w:spacing w:after="0" w:line="175" w:lineRule="exact"/>
              <w:rPr>
                <w:sz w:val="20"/>
                <w:szCs w:val="20"/>
                <w:color w:val="auto"/>
              </w:rPr>
            </w:pPr>
            <w:r>
              <w:rPr>
                <w:rFonts w:ascii="Arial" w:cs="Arial" w:eastAsia="Arial" w:hAnsi="Arial"/>
                <w:sz w:val="16"/>
                <w:szCs w:val="16"/>
                <w:b w:val="1"/>
                <w:bCs w:val="1"/>
                <w:color w:val="auto"/>
              </w:rPr>
              <w:t>No. of Shares</w:t>
            </w:r>
          </w:p>
        </w:tc>
        <w:tc>
          <w:tcPr>
            <w:tcW w:w="1220" w:type="dxa"/>
            <w:vAlign w:val="bottom"/>
            <w:tcBorders>
              <w:top w:val="single" w:sz="8" w:color="FFE933"/>
            </w:tcBorders>
            <w:shd w:val="clear" w:color="auto" w:fill="F1F2F2"/>
          </w:tcPr>
          <w:p>
            <w:pPr>
              <w:jc w:val="right"/>
              <w:spacing w:after="0" w:line="175" w:lineRule="exact"/>
              <w:rPr>
                <w:sz w:val="20"/>
                <w:szCs w:val="20"/>
                <w:color w:val="auto"/>
              </w:rPr>
            </w:pPr>
            <w:r>
              <w:rPr>
                <w:rFonts w:ascii="Arial" w:cs="Arial" w:eastAsia="Arial" w:hAnsi="Arial"/>
                <w:sz w:val="16"/>
                <w:szCs w:val="16"/>
                <w:b w:val="1"/>
                <w:bCs w:val="1"/>
                <w:color w:val="auto"/>
              </w:rPr>
              <w:t>Value</w:t>
            </w:r>
          </w:p>
        </w:tc>
      </w:tr>
      <w:tr>
        <w:trPr>
          <w:trHeight w:val="189"/>
        </w:trPr>
        <w:tc>
          <w:tcPr>
            <w:tcW w:w="5860" w:type="dxa"/>
            <w:vAlign w:val="bottom"/>
            <w:shd w:val="clear" w:color="auto" w:fill="F1F2F2"/>
          </w:tcPr>
          <w:p>
            <w:pPr>
              <w:spacing w:after="0"/>
              <w:rPr>
                <w:sz w:val="16"/>
                <w:szCs w:val="16"/>
                <w:color w:val="auto"/>
              </w:rPr>
            </w:pPr>
          </w:p>
        </w:tc>
        <w:tc>
          <w:tcPr>
            <w:tcW w:w="220" w:type="dxa"/>
            <w:vAlign w:val="bottom"/>
            <w:shd w:val="clear" w:color="auto" w:fill="F1F2F2"/>
          </w:tcPr>
          <w:p>
            <w:pPr>
              <w:spacing w:after="0"/>
              <w:rPr>
                <w:sz w:val="16"/>
                <w:szCs w:val="16"/>
                <w:color w:val="auto"/>
              </w:rPr>
            </w:pPr>
          </w:p>
        </w:tc>
        <w:tc>
          <w:tcPr>
            <w:tcW w:w="12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Acquired on</w:t>
            </w:r>
          </w:p>
        </w:tc>
        <w:tc>
          <w:tcPr>
            <w:tcW w:w="1460" w:type="dxa"/>
            <w:vAlign w:val="bottom"/>
            <w:gridSpan w:val="2"/>
            <w:shd w:val="clear" w:color="auto" w:fill="F1F2F2"/>
          </w:tcPr>
          <w:p>
            <w:pPr>
              <w:jc w:val="right"/>
              <w:ind w:right="220"/>
              <w:spacing w:after="0"/>
              <w:rPr>
                <w:sz w:val="20"/>
                <w:szCs w:val="20"/>
                <w:color w:val="auto"/>
              </w:rPr>
            </w:pPr>
            <w:r>
              <w:rPr>
                <w:rFonts w:ascii="Arial" w:cs="Arial" w:eastAsia="Arial" w:hAnsi="Arial"/>
                <w:sz w:val="16"/>
                <w:szCs w:val="16"/>
                <w:b w:val="1"/>
                <w:bCs w:val="1"/>
                <w:color w:val="auto"/>
              </w:rPr>
              <w:t>Value Realized</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Acquired on</w:t>
            </w:r>
          </w:p>
        </w:tc>
        <w:tc>
          <w:tcPr>
            <w:tcW w:w="122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Realized</w:t>
            </w:r>
          </w:p>
        </w:tc>
      </w:tr>
      <w:tr>
        <w:trPr>
          <w:trHeight w:val="189"/>
        </w:trPr>
        <w:tc>
          <w:tcPr>
            <w:tcW w:w="5860" w:type="dxa"/>
            <w:vAlign w:val="bottom"/>
            <w:shd w:val="clear" w:color="auto" w:fill="F1F2F2"/>
          </w:tcPr>
          <w:p>
            <w:pPr>
              <w:spacing w:after="0"/>
              <w:rPr>
                <w:sz w:val="16"/>
                <w:szCs w:val="16"/>
                <w:color w:val="auto"/>
              </w:rPr>
            </w:pPr>
          </w:p>
        </w:tc>
        <w:tc>
          <w:tcPr>
            <w:tcW w:w="220" w:type="dxa"/>
            <w:vAlign w:val="bottom"/>
            <w:shd w:val="clear" w:color="auto" w:fill="F1F2F2"/>
          </w:tcPr>
          <w:p>
            <w:pPr>
              <w:spacing w:after="0"/>
              <w:rPr>
                <w:sz w:val="16"/>
                <w:szCs w:val="16"/>
                <w:color w:val="auto"/>
              </w:rPr>
            </w:pPr>
          </w:p>
        </w:tc>
        <w:tc>
          <w:tcPr>
            <w:tcW w:w="12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Exercise</w:t>
            </w:r>
          </w:p>
        </w:tc>
        <w:tc>
          <w:tcPr>
            <w:tcW w:w="1460" w:type="dxa"/>
            <w:vAlign w:val="bottom"/>
            <w:gridSpan w:val="2"/>
            <w:shd w:val="clear" w:color="auto" w:fill="F1F2F2"/>
          </w:tcPr>
          <w:p>
            <w:pPr>
              <w:jc w:val="right"/>
              <w:ind w:right="220"/>
              <w:spacing w:after="0"/>
              <w:rPr>
                <w:sz w:val="20"/>
                <w:szCs w:val="20"/>
                <w:color w:val="auto"/>
              </w:rPr>
            </w:pPr>
            <w:r>
              <w:rPr>
                <w:rFonts w:ascii="Arial" w:cs="Arial" w:eastAsia="Arial" w:hAnsi="Arial"/>
                <w:sz w:val="16"/>
                <w:szCs w:val="16"/>
                <w:b w:val="1"/>
                <w:bCs w:val="1"/>
                <w:color w:val="auto"/>
              </w:rPr>
              <w:t>Upon Exercise</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Vesting</w:t>
            </w:r>
          </w:p>
        </w:tc>
        <w:tc>
          <w:tcPr>
            <w:tcW w:w="122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Upon Vesting</w:t>
            </w:r>
          </w:p>
        </w:tc>
      </w:tr>
      <w:tr>
        <w:trPr>
          <w:trHeight w:val="203"/>
        </w:trPr>
        <w:tc>
          <w:tcPr>
            <w:tcW w:w="586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w:t>
            </w:r>
          </w:p>
        </w:tc>
        <w:tc>
          <w:tcPr>
            <w:tcW w:w="1460" w:type="dxa"/>
            <w:vAlign w:val="bottom"/>
            <w:gridSpan w:val="2"/>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w:t>
            </w:r>
          </w:p>
        </w:tc>
        <w:tc>
          <w:tcPr>
            <w:tcW w:w="1460" w:type="dxa"/>
            <w:vAlign w:val="bottom"/>
            <w:gridSpan w:val="2"/>
            <w:shd w:val="clear" w:color="auto" w:fill="F1F2F2"/>
          </w:tcPr>
          <w:p>
            <w:pPr>
              <w:jc w:val="right"/>
              <w:ind w:right="220"/>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r>
      <w:tr>
        <w:trPr>
          <w:trHeight w:val="230"/>
        </w:trPr>
        <w:tc>
          <w:tcPr>
            <w:tcW w:w="5860" w:type="dxa"/>
            <w:vAlign w:val="bottom"/>
          </w:tcPr>
          <w:p>
            <w:pPr>
              <w:ind w:left="60"/>
              <w:spacing w:after="0"/>
              <w:rPr>
                <w:sz w:val="20"/>
                <w:szCs w:val="20"/>
                <w:color w:val="auto"/>
              </w:rPr>
            </w:pPr>
            <w:r>
              <w:rPr>
                <w:rFonts w:ascii="Arial" w:cs="Arial" w:eastAsia="Arial" w:hAnsi="Arial"/>
                <w:sz w:val="16"/>
                <w:szCs w:val="16"/>
                <w:b w:val="1"/>
                <w:bCs w:val="1"/>
                <w:color w:val="auto"/>
              </w:rPr>
              <w:t>GERBEN W. BAKKER</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25,000</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5,538,125</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6,322</w:t>
            </w:r>
          </w:p>
        </w:tc>
        <w:tc>
          <w:tcPr>
            <w:tcW w:w="1220" w:type="dxa"/>
            <w:vAlign w:val="bottom"/>
          </w:tcPr>
          <w:p>
            <w:pPr>
              <w:jc w:val="right"/>
              <w:spacing w:after="0" w:line="230" w:lineRule="exact"/>
              <w:rPr>
                <w:sz w:val="20"/>
                <w:szCs w:val="20"/>
                <w:color w:val="auto"/>
              </w:rPr>
            </w:pPr>
            <w:r>
              <w:rPr>
                <w:rFonts w:ascii="Arial" w:cs="Arial" w:eastAsia="Arial" w:hAnsi="Arial"/>
                <w:sz w:val="16"/>
                <w:szCs w:val="16"/>
                <w:color w:val="auto"/>
              </w:rPr>
              <w:t>2,526,018</w:t>
            </w:r>
            <w:r>
              <w:rPr>
                <w:rFonts w:ascii="Arial" w:cs="Arial" w:eastAsia="Arial" w:hAnsi="Arial"/>
                <w:sz w:val="26"/>
                <w:szCs w:val="26"/>
                <w:color w:val="auto"/>
                <w:vertAlign w:val="superscript"/>
              </w:rPr>
              <w:t>(2)</w:t>
            </w:r>
          </w:p>
        </w:tc>
      </w:tr>
      <w:tr>
        <w:trPr>
          <w:trHeight w:val="223"/>
        </w:trPr>
        <w:tc>
          <w:tcPr>
            <w:tcW w:w="5860" w:type="dxa"/>
            <w:vAlign w:val="bottom"/>
            <w:tcBorders>
              <w:bottom w:val="single" w:sz="8" w:color="BCBEC0"/>
            </w:tcBorders>
          </w:tcPr>
          <w:p>
            <w:pPr>
              <w:spacing w:after="0"/>
              <w:rPr>
                <w:sz w:val="19"/>
                <w:szCs w:val="19"/>
                <w:color w:val="auto"/>
              </w:rPr>
            </w:pPr>
          </w:p>
        </w:tc>
        <w:tc>
          <w:tcPr>
            <w:tcW w:w="220" w:type="dxa"/>
            <w:vAlign w:val="bottom"/>
            <w:tcBorders>
              <w:bottom w:val="single" w:sz="8" w:color="BCBEC0"/>
            </w:tcBorders>
          </w:tcPr>
          <w:p>
            <w:pPr>
              <w:spacing w:after="0"/>
              <w:rPr>
                <w:sz w:val="19"/>
                <w:szCs w:val="19"/>
                <w:color w:val="auto"/>
              </w:rPr>
            </w:pPr>
          </w:p>
        </w:tc>
        <w:tc>
          <w:tcPr>
            <w:tcW w:w="1240" w:type="dxa"/>
            <w:vAlign w:val="bottom"/>
            <w:tcBorders>
              <w:top w:val="single" w:sz="8" w:color="BCBEC0"/>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BCBEC0"/>
              <w:bottom w:val="single" w:sz="8" w:color="BCBEC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BCBEC0"/>
              <w:bottom w:val="single" w:sz="8" w:color="BCBEC0"/>
            </w:tcBorders>
          </w:tcPr>
          <w:p>
            <w:pPr>
              <w:jc w:val="right"/>
              <w:ind w:right="39"/>
              <w:spacing w:after="0"/>
              <w:rPr>
                <w:sz w:val="20"/>
                <w:szCs w:val="20"/>
                <w:color w:val="auto"/>
              </w:rPr>
            </w:pPr>
            <w:r>
              <w:rPr>
                <w:rFonts w:ascii="Arial" w:cs="Arial" w:eastAsia="Arial" w:hAnsi="Arial"/>
                <w:sz w:val="16"/>
                <w:szCs w:val="16"/>
                <w:color w:val="auto"/>
              </w:rPr>
              <w:t>25,286</w:t>
            </w:r>
          </w:p>
        </w:tc>
        <w:tc>
          <w:tcPr>
            <w:tcW w:w="1220" w:type="dxa"/>
            <w:vAlign w:val="bottom"/>
            <w:tcBorders>
              <w:top w:val="single" w:sz="8" w:color="BCBEC0"/>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9,639,978</w:t>
            </w:r>
            <w:r>
              <w:rPr>
                <w:rFonts w:ascii="Arial" w:cs="Arial" w:eastAsia="Arial" w:hAnsi="Arial"/>
                <w:sz w:val="25"/>
                <w:szCs w:val="25"/>
                <w:color w:val="auto"/>
                <w:vertAlign w:val="superscript"/>
              </w:rPr>
              <w:t>(3)</w:t>
            </w:r>
          </w:p>
        </w:tc>
      </w:tr>
      <w:tr>
        <w:trPr>
          <w:trHeight w:val="223"/>
        </w:trPr>
        <w:tc>
          <w:tcPr>
            <w:tcW w:w="5860" w:type="dxa"/>
            <w:vAlign w:val="bottom"/>
          </w:tcPr>
          <w:p>
            <w:pPr>
              <w:ind w:left="60"/>
              <w:spacing w:after="0"/>
              <w:rPr>
                <w:sz w:val="20"/>
                <w:szCs w:val="20"/>
                <w:color w:val="auto"/>
              </w:rPr>
            </w:pPr>
            <w:r>
              <w:rPr>
                <w:rFonts w:ascii="Arial" w:cs="Arial" w:eastAsia="Arial" w:hAnsi="Arial"/>
                <w:sz w:val="16"/>
                <w:szCs w:val="16"/>
                <w:b w:val="1"/>
                <w:bCs w:val="1"/>
                <w:color w:val="auto"/>
              </w:rPr>
              <w:t>WILLIAM R. SPERRY</w:t>
            </w:r>
          </w:p>
        </w:tc>
        <w:tc>
          <w:tcPr>
            <w:tcW w:w="220" w:type="dxa"/>
            <w:vAlign w:val="bottom"/>
          </w:tcPr>
          <w:p>
            <w:pPr>
              <w:spacing w:after="0"/>
              <w:rPr>
                <w:sz w:val="19"/>
                <w:szCs w:val="19"/>
                <w:color w:val="auto"/>
              </w:rPr>
            </w:pPr>
          </w:p>
        </w:tc>
        <w:tc>
          <w:tcPr>
            <w:tcW w:w="124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2,421</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967,335</w:t>
            </w:r>
            <w:r>
              <w:rPr>
                <w:rFonts w:ascii="Arial" w:cs="Arial" w:eastAsia="Arial" w:hAnsi="Arial"/>
                <w:sz w:val="25"/>
                <w:szCs w:val="25"/>
                <w:color w:val="auto"/>
                <w:vertAlign w:val="superscript"/>
              </w:rPr>
              <w:t>(2)</w:t>
            </w:r>
          </w:p>
        </w:tc>
      </w:tr>
      <w:tr>
        <w:trPr>
          <w:trHeight w:val="223"/>
        </w:trPr>
        <w:tc>
          <w:tcPr>
            <w:tcW w:w="5860" w:type="dxa"/>
            <w:vAlign w:val="bottom"/>
            <w:tcBorders>
              <w:bottom w:val="single" w:sz="8" w:color="BCBEC0"/>
            </w:tcBorders>
          </w:tcPr>
          <w:p>
            <w:pPr>
              <w:spacing w:after="0"/>
              <w:rPr>
                <w:sz w:val="19"/>
                <w:szCs w:val="19"/>
                <w:color w:val="auto"/>
              </w:rPr>
            </w:pPr>
          </w:p>
        </w:tc>
        <w:tc>
          <w:tcPr>
            <w:tcW w:w="220" w:type="dxa"/>
            <w:vAlign w:val="bottom"/>
            <w:tcBorders>
              <w:bottom w:val="single" w:sz="8" w:color="BCBEC0"/>
            </w:tcBorders>
          </w:tcPr>
          <w:p>
            <w:pPr>
              <w:spacing w:after="0"/>
              <w:rPr>
                <w:sz w:val="19"/>
                <w:szCs w:val="19"/>
                <w:color w:val="auto"/>
              </w:rPr>
            </w:pPr>
          </w:p>
        </w:tc>
        <w:tc>
          <w:tcPr>
            <w:tcW w:w="124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9,684</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3,691,947</w:t>
            </w:r>
            <w:r>
              <w:rPr>
                <w:rFonts w:ascii="Arial" w:cs="Arial" w:eastAsia="Arial" w:hAnsi="Arial"/>
                <w:sz w:val="25"/>
                <w:szCs w:val="25"/>
                <w:color w:val="auto"/>
                <w:vertAlign w:val="superscript"/>
              </w:rPr>
              <w:t>(3)</w:t>
            </w:r>
          </w:p>
        </w:tc>
      </w:tr>
      <w:tr>
        <w:trPr>
          <w:trHeight w:val="223"/>
        </w:trPr>
        <w:tc>
          <w:tcPr>
            <w:tcW w:w="5860" w:type="dxa"/>
            <w:vAlign w:val="bottom"/>
          </w:tcPr>
          <w:p>
            <w:pPr>
              <w:ind w:left="60"/>
              <w:spacing w:after="0"/>
              <w:rPr>
                <w:sz w:val="20"/>
                <w:szCs w:val="20"/>
                <w:color w:val="auto"/>
              </w:rPr>
            </w:pPr>
            <w:r>
              <w:rPr>
                <w:rFonts w:ascii="Arial" w:cs="Arial" w:eastAsia="Arial" w:hAnsi="Arial"/>
                <w:sz w:val="16"/>
                <w:szCs w:val="16"/>
                <w:b w:val="1"/>
                <w:bCs w:val="1"/>
                <w:color w:val="auto"/>
              </w:rPr>
              <w:t>MARK E. MIKES</w:t>
            </w:r>
          </w:p>
        </w:tc>
        <w:tc>
          <w:tcPr>
            <w:tcW w:w="1460" w:type="dxa"/>
            <w:vAlign w:val="bottom"/>
            <w:gridSpan w:val="2"/>
          </w:tcPr>
          <w:p>
            <w:pPr>
              <w:jc w:val="right"/>
              <w:ind w:right="19"/>
              <w:spacing w:after="0"/>
              <w:rPr>
                <w:sz w:val="20"/>
                <w:szCs w:val="20"/>
                <w:color w:val="auto"/>
              </w:rPr>
            </w:pPr>
            <w:r>
              <w:rPr>
                <w:rFonts w:ascii="Arial" w:cs="Arial" w:eastAsia="Arial" w:hAnsi="Arial"/>
                <w:sz w:val="16"/>
                <w:szCs w:val="16"/>
                <w:color w:val="auto"/>
              </w:rPr>
              <w:t>6,551</w:t>
            </w:r>
          </w:p>
        </w:tc>
        <w:tc>
          <w:tcPr>
            <w:tcW w:w="1460" w:type="dxa"/>
            <w:vAlign w:val="bottom"/>
            <w:gridSpan w:val="2"/>
          </w:tcPr>
          <w:p>
            <w:pPr>
              <w:jc w:val="right"/>
              <w:ind w:right="220"/>
              <w:spacing w:after="0"/>
              <w:rPr>
                <w:sz w:val="20"/>
                <w:szCs w:val="20"/>
                <w:color w:val="auto"/>
              </w:rPr>
            </w:pPr>
            <w:r>
              <w:rPr>
                <w:rFonts w:ascii="Arial" w:cs="Arial" w:eastAsia="Arial" w:hAnsi="Arial"/>
                <w:sz w:val="16"/>
                <w:szCs w:val="16"/>
                <w:color w:val="auto"/>
              </w:rPr>
              <w:t>2,110,707</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504</w:t>
            </w:r>
          </w:p>
        </w:tc>
        <w:tc>
          <w:tcPr>
            <w:tcW w:w="1220" w:type="dxa"/>
            <w:vAlign w:val="bottom"/>
          </w:tcPr>
          <w:p>
            <w:pPr>
              <w:jc w:val="right"/>
              <w:spacing w:after="0" w:line="223" w:lineRule="exact"/>
              <w:rPr>
                <w:sz w:val="20"/>
                <w:szCs w:val="20"/>
                <w:color w:val="auto"/>
              </w:rPr>
            </w:pPr>
            <w:r>
              <w:rPr>
                <w:rFonts w:ascii="Arial" w:cs="Arial" w:eastAsia="Arial" w:hAnsi="Arial"/>
                <w:sz w:val="16"/>
                <w:szCs w:val="16"/>
                <w:color w:val="auto"/>
              </w:rPr>
              <w:t>201,378</w:t>
            </w:r>
            <w:r>
              <w:rPr>
                <w:rFonts w:ascii="Arial" w:cs="Arial" w:eastAsia="Arial" w:hAnsi="Arial"/>
                <w:sz w:val="25"/>
                <w:szCs w:val="25"/>
                <w:color w:val="auto"/>
                <w:vertAlign w:val="superscript"/>
              </w:rPr>
              <w:t>(2)</w:t>
            </w:r>
          </w:p>
        </w:tc>
      </w:tr>
      <w:tr>
        <w:trPr>
          <w:trHeight w:val="223"/>
        </w:trPr>
        <w:tc>
          <w:tcPr>
            <w:tcW w:w="5860" w:type="dxa"/>
            <w:vAlign w:val="bottom"/>
            <w:tcBorders>
              <w:bottom w:val="single" w:sz="8" w:color="BCBEC0"/>
            </w:tcBorders>
          </w:tcPr>
          <w:p>
            <w:pPr>
              <w:spacing w:after="0"/>
              <w:rPr>
                <w:sz w:val="19"/>
                <w:szCs w:val="19"/>
                <w:color w:val="auto"/>
              </w:rPr>
            </w:pPr>
          </w:p>
        </w:tc>
        <w:tc>
          <w:tcPr>
            <w:tcW w:w="220" w:type="dxa"/>
            <w:vAlign w:val="bottom"/>
            <w:tcBorders>
              <w:bottom w:val="single" w:sz="8" w:color="BCBEC0"/>
            </w:tcBorders>
          </w:tcPr>
          <w:p>
            <w:pPr>
              <w:spacing w:after="0"/>
              <w:rPr>
                <w:sz w:val="19"/>
                <w:szCs w:val="19"/>
                <w:color w:val="auto"/>
              </w:rPr>
            </w:pPr>
          </w:p>
        </w:tc>
        <w:tc>
          <w:tcPr>
            <w:tcW w:w="1240" w:type="dxa"/>
            <w:vAlign w:val="bottom"/>
            <w:tcBorders>
              <w:top w:val="single" w:sz="8" w:color="BCBEC0"/>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BCBEC0"/>
              <w:bottom w:val="single" w:sz="8" w:color="BCBEC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BCBEC0"/>
              <w:bottom w:val="single" w:sz="8" w:color="BCBEC0"/>
            </w:tcBorders>
          </w:tcPr>
          <w:p>
            <w:pPr>
              <w:jc w:val="right"/>
              <w:ind w:right="39"/>
              <w:spacing w:after="0"/>
              <w:rPr>
                <w:sz w:val="20"/>
                <w:szCs w:val="20"/>
                <w:color w:val="auto"/>
              </w:rPr>
            </w:pPr>
            <w:r>
              <w:rPr>
                <w:rFonts w:ascii="Arial" w:cs="Arial" w:eastAsia="Arial" w:hAnsi="Arial"/>
                <w:sz w:val="16"/>
                <w:szCs w:val="16"/>
                <w:color w:val="auto"/>
              </w:rPr>
              <w:t>2,018</w:t>
            </w:r>
          </w:p>
        </w:tc>
        <w:tc>
          <w:tcPr>
            <w:tcW w:w="1220" w:type="dxa"/>
            <w:vAlign w:val="bottom"/>
            <w:tcBorders>
              <w:top w:val="single" w:sz="8" w:color="BCBEC0"/>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769,346</w:t>
            </w:r>
            <w:r>
              <w:rPr>
                <w:rFonts w:ascii="Arial" w:cs="Arial" w:eastAsia="Arial" w:hAnsi="Arial"/>
                <w:sz w:val="25"/>
                <w:szCs w:val="25"/>
                <w:color w:val="auto"/>
                <w:vertAlign w:val="superscript"/>
              </w:rPr>
              <w:t>(3)</w:t>
            </w:r>
          </w:p>
        </w:tc>
      </w:tr>
      <w:tr>
        <w:trPr>
          <w:trHeight w:val="183"/>
        </w:trPr>
        <w:tc>
          <w:tcPr>
            <w:tcW w:w="58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GREGORY A. GUMBS</w:t>
            </w:r>
          </w:p>
        </w:tc>
        <w:tc>
          <w:tcPr>
            <w:tcW w:w="220" w:type="dxa"/>
            <w:vAlign w:val="bottom"/>
            <w:tcBorders>
              <w:bottom w:val="single" w:sz="8" w:color="BCBEC0"/>
            </w:tcBorders>
          </w:tcPr>
          <w:p>
            <w:pPr>
              <w:spacing w:after="0"/>
              <w:rPr>
                <w:sz w:val="15"/>
                <w:szCs w:val="15"/>
                <w:color w:val="auto"/>
              </w:rPr>
            </w:pPr>
          </w:p>
        </w:tc>
        <w:tc>
          <w:tcPr>
            <w:tcW w:w="12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gridSpan w:val="2"/>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223"/>
        </w:trPr>
        <w:tc>
          <w:tcPr>
            <w:tcW w:w="5860" w:type="dxa"/>
            <w:vAlign w:val="bottom"/>
          </w:tcPr>
          <w:p>
            <w:pPr>
              <w:ind w:left="60"/>
              <w:spacing w:after="0"/>
              <w:rPr>
                <w:sz w:val="20"/>
                <w:szCs w:val="20"/>
                <w:color w:val="auto"/>
              </w:rPr>
            </w:pPr>
            <w:r>
              <w:rPr>
                <w:rFonts w:ascii="Arial" w:cs="Arial" w:eastAsia="Arial" w:hAnsi="Arial"/>
                <w:sz w:val="16"/>
                <w:szCs w:val="16"/>
                <w:b w:val="1"/>
                <w:bCs w:val="1"/>
                <w:color w:val="auto"/>
              </w:rPr>
              <w:t>KATHERINE A. LANE</w:t>
            </w:r>
          </w:p>
        </w:tc>
        <w:tc>
          <w:tcPr>
            <w:tcW w:w="220" w:type="dxa"/>
            <w:vAlign w:val="bottom"/>
          </w:tcPr>
          <w:p>
            <w:pPr>
              <w:spacing w:after="0"/>
              <w:rPr>
                <w:sz w:val="19"/>
                <w:szCs w:val="19"/>
                <w:color w:val="auto"/>
              </w:rPr>
            </w:pPr>
          </w:p>
        </w:tc>
        <w:tc>
          <w:tcPr>
            <w:tcW w:w="124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1,143</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456,697</w:t>
            </w:r>
            <w:r>
              <w:rPr>
                <w:rFonts w:ascii="Arial" w:cs="Arial" w:eastAsia="Arial" w:hAnsi="Arial"/>
                <w:sz w:val="25"/>
                <w:szCs w:val="25"/>
                <w:color w:val="auto"/>
                <w:vertAlign w:val="superscript"/>
              </w:rPr>
              <w:t>(2)</w:t>
            </w:r>
          </w:p>
        </w:tc>
      </w:tr>
      <w:tr>
        <w:trPr>
          <w:trHeight w:val="223"/>
        </w:trPr>
        <w:tc>
          <w:tcPr>
            <w:tcW w:w="5860" w:type="dxa"/>
            <w:vAlign w:val="bottom"/>
            <w:tcBorders>
              <w:bottom w:val="single" w:sz="8" w:color="BCBEC0"/>
            </w:tcBorders>
          </w:tcPr>
          <w:p>
            <w:pPr>
              <w:spacing w:after="0"/>
              <w:rPr>
                <w:sz w:val="19"/>
                <w:szCs w:val="19"/>
                <w:color w:val="auto"/>
              </w:rPr>
            </w:pPr>
          </w:p>
        </w:tc>
        <w:tc>
          <w:tcPr>
            <w:tcW w:w="220" w:type="dxa"/>
            <w:vAlign w:val="bottom"/>
            <w:tcBorders>
              <w:bottom w:val="single" w:sz="8" w:color="BCBEC0"/>
            </w:tcBorders>
          </w:tcPr>
          <w:p>
            <w:pPr>
              <w:spacing w:after="0"/>
              <w:rPr>
                <w:sz w:val="19"/>
                <w:szCs w:val="19"/>
                <w:color w:val="auto"/>
              </w:rPr>
            </w:pPr>
          </w:p>
        </w:tc>
        <w:tc>
          <w:tcPr>
            <w:tcW w:w="1240" w:type="dxa"/>
            <w:vAlign w:val="bottom"/>
            <w:tcBorders>
              <w:bottom w:val="single" w:sz="8" w:color="BCBEC0"/>
            </w:tcBorders>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BCBEC0"/>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4,574</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1,743,747</w:t>
            </w:r>
            <w:r>
              <w:rPr>
                <w:rFonts w:ascii="Arial" w:cs="Arial" w:eastAsia="Arial" w:hAnsi="Arial"/>
                <w:sz w:val="25"/>
                <w:szCs w:val="25"/>
                <w:color w:val="auto"/>
                <w:vertAlign w:val="superscript"/>
              </w:rPr>
              <w:t>(3)</w:t>
            </w:r>
          </w:p>
        </w:tc>
      </w:tr>
    </w:tbl>
    <w:p>
      <w:pPr>
        <w:spacing w:after="0" w:line="47" w:lineRule="exact"/>
        <w:rPr>
          <w:sz w:val="20"/>
          <w:szCs w:val="20"/>
          <w:color w:val="auto"/>
        </w:rPr>
      </w:pPr>
    </w:p>
    <w:p>
      <w:pPr>
        <w:ind w:left="340" w:right="20" w:hanging="332"/>
        <w:spacing w:after="0" w:line="192" w:lineRule="auto"/>
        <w:tabs>
          <w:tab w:leader="none" w:pos="340" w:val="left"/>
        </w:tabs>
        <w:numPr>
          <w:ilvl w:val="0"/>
          <w:numId w:val="7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 xml:space="preserve">The amounts reported in the </w:t>
      </w:r>
      <w:r>
        <w:rPr>
          <w:rFonts w:ascii="Arial" w:cs="Arial" w:eastAsia="Arial" w:hAnsi="Arial"/>
          <w:sz w:val="14"/>
          <w:szCs w:val="14"/>
          <w:b w:val="1"/>
          <w:bCs w:val="1"/>
          <w:i w:val="1"/>
          <w:iCs w:val="1"/>
          <w:color w:val="auto"/>
        </w:rPr>
        <w:t>Option Awards - Value Realized Upon Exercise</w:t>
      </w:r>
      <w:r>
        <w:rPr>
          <w:rFonts w:ascii="Arial" w:cs="Arial" w:eastAsia="Arial" w:hAnsi="Arial"/>
          <w:sz w:val="14"/>
          <w:szCs w:val="14"/>
          <w:i w:val="1"/>
          <w:iCs w:val="1"/>
          <w:color w:val="auto"/>
        </w:rPr>
        <w:t xml:space="preserve"> column reflect the number of shares acquired upon exercise multiplied by the difference between the base price of the SAR and the market price of Hubbell common stock on the date of exercise.</w:t>
      </w:r>
    </w:p>
    <w:p>
      <w:pPr>
        <w:spacing w:after="0" w:line="28"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7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 xml:space="preserve">The amounts reported in the </w:t>
      </w:r>
      <w:r>
        <w:rPr>
          <w:rFonts w:ascii="Arial" w:cs="Arial" w:eastAsia="Arial" w:hAnsi="Arial"/>
          <w:sz w:val="14"/>
          <w:szCs w:val="14"/>
          <w:b w:val="1"/>
          <w:bCs w:val="1"/>
          <w:i w:val="1"/>
          <w:iCs w:val="1"/>
          <w:color w:val="auto"/>
        </w:rPr>
        <w:t>Stock Awards - Value Realized Upon Vesting</w:t>
      </w:r>
      <w:r>
        <w:rPr>
          <w:rFonts w:ascii="Arial" w:cs="Arial" w:eastAsia="Arial" w:hAnsi="Arial"/>
          <w:sz w:val="14"/>
          <w:szCs w:val="14"/>
          <w:i w:val="1"/>
          <w:iCs w:val="1"/>
          <w:color w:val="auto"/>
        </w:rPr>
        <w:t xml:space="preserve"> column reflect the number of shares of time-based restricted stock acquired upon vesting multiplied by the closing market price of Hubbell common stock on February 7, 2025 - $399.56.</w:t>
      </w:r>
    </w:p>
    <w:p>
      <w:pPr>
        <w:spacing w:after="0" w:line="28"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7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 xml:space="preserve">The amounts reported in the </w:t>
      </w:r>
      <w:r>
        <w:rPr>
          <w:rFonts w:ascii="Arial" w:cs="Arial" w:eastAsia="Arial" w:hAnsi="Arial"/>
          <w:sz w:val="14"/>
          <w:szCs w:val="14"/>
          <w:b w:val="1"/>
          <w:bCs w:val="1"/>
          <w:i w:val="1"/>
          <w:iCs w:val="1"/>
          <w:color w:val="auto"/>
        </w:rPr>
        <w:t>Stock Awards - Value Realized Upon Vesting</w:t>
      </w:r>
      <w:r>
        <w:rPr>
          <w:rFonts w:ascii="Arial" w:cs="Arial" w:eastAsia="Arial" w:hAnsi="Arial"/>
          <w:sz w:val="14"/>
          <w:szCs w:val="14"/>
          <w:i w:val="1"/>
          <w:iCs w:val="1"/>
          <w:color w:val="auto"/>
        </w:rPr>
        <w:t xml:space="preserve"> column reflect the number of performance shares earned multiplied by the closing market price of Hubbell common stock on the following vesting dates – February 12, 2025 - $397.43 and May 6, 2025 - $349.81.</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2" w:name="page63"/>
    <w:bookmarkEnd w:id="6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Outstanding Equity Awards at 2025 Fiscal Year-End</w:t>
      </w:r>
    </w:p>
    <w:p>
      <w:pPr>
        <w:spacing w:after="0" w:line="20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provides information on all restricted stock, SARs, and performance share awards held by the NEOs and the value of such holdings measured as of December 31, 2025. All outstanding equity awards are in shares of Hubbell common stock.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1720" w:type="dxa"/>
            <w:vAlign w:val="bottom"/>
            <w:tcBorders>
              <w:top w:val="single" w:sz="8" w:color="FFE933"/>
              <w:bottom w:val="single" w:sz="8" w:color="F1F2F2"/>
            </w:tcBorders>
            <w:shd w:val="clear" w:color="auto" w:fill="F1F2F2"/>
          </w:tcPr>
          <w:p>
            <w:pPr>
              <w:spacing w:after="0"/>
              <w:rPr>
                <w:sz w:val="24"/>
                <w:szCs w:val="24"/>
                <w:color w:val="auto"/>
              </w:rPr>
            </w:pPr>
          </w:p>
        </w:tc>
        <w:tc>
          <w:tcPr>
            <w:tcW w:w="100" w:type="dxa"/>
            <w:vAlign w:val="bottom"/>
            <w:tcBorders>
              <w:top w:val="single" w:sz="8" w:color="FFE933"/>
              <w:bottom w:val="single" w:sz="8" w:color="F1F2F2"/>
            </w:tcBorders>
            <w:shd w:val="clear" w:color="auto" w:fill="F1F2F2"/>
          </w:tcPr>
          <w:p>
            <w:pPr>
              <w:spacing w:after="0"/>
              <w:rPr>
                <w:sz w:val="24"/>
                <w:szCs w:val="24"/>
                <w:color w:val="auto"/>
              </w:rPr>
            </w:pPr>
          </w:p>
        </w:tc>
        <w:tc>
          <w:tcPr>
            <w:tcW w:w="840" w:type="dxa"/>
            <w:vAlign w:val="bottom"/>
            <w:tcBorders>
              <w:top w:val="single" w:sz="8" w:color="FFE933"/>
              <w:bottom w:val="single" w:sz="8" w:color="F1F2F2"/>
            </w:tcBorders>
            <w:shd w:val="clear" w:color="auto" w:fill="F1F2F2"/>
          </w:tcPr>
          <w:p>
            <w:pPr>
              <w:spacing w:after="0"/>
              <w:rPr>
                <w:sz w:val="24"/>
                <w:szCs w:val="24"/>
                <w:color w:val="auto"/>
              </w:rPr>
            </w:pPr>
          </w:p>
        </w:tc>
        <w:tc>
          <w:tcPr>
            <w:tcW w:w="1100" w:type="dxa"/>
            <w:vAlign w:val="bottom"/>
            <w:tcBorders>
              <w:top w:val="single" w:sz="8" w:color="FFE933"/>
              <w:bottom w:val="single" w:sz="8" w:color="F1F2F2"/>
            </w:tcBorders>
            <w:shd w:val="clear" w:color="auto" w:fill="F1F2F2"/>
          </w:tcPr>
          <w:p>
            <w:pPr>
              <w:spacing w:after="0"/>
              <w:rPr>
                <w:sz w:val="24"/>
                <w:szCs w:val="24"/>
                <w:color w:val="auto"/>
              </w:rPr>
            </w:pPr>
          </w:p>
        </w:tc>
        <w:tc>
          <w:tcPr>
            <w:tcW w:w="2160" w:type="dxa"/>
            <w:vAlign w:val="bottom"/>
            <w:tcBorders>
              <w:top w:val="single" w:sz="8" w:color="FFE933"/>
              <w:bottom w:val="single" w:sz="8" w:color="FFE933"/>
            </w:tcBorders>
            <w:gridSpan w:val="2"/>
            <w:shd w:val="clear" w:color="auto" w:fill="F1F2F2"/>
          </w:tcPr>
          <w:p>
            <w:pPr>
              <w:jc w:val="right"/>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6"/>
                <w:szCs w:val="26"/>
                <w:b w:val="1"/>
                <w:bCs w:val="1"/>
                <w:color w:val="auto"/>
                <w:vertAlign w:val="superscript"/>
              </w:rPr>
              <w:t>(1)</w:t>
            </w:r>
          </w:p>
        </w:tc>
        <w:tc>
          <w:tcPr>
            <w:tcW w:w="860" w:type="dxa"/>
            <w:vAlign w:val="bottom"/>
            <w:tcBorders>
              <w:top w:val="single" w:sz="8" w:color="FFE933"/>
              <w:bottom w:val="single" w:sz="8" w:color="FFE933"/>
            </w:tcBorders>
            <w:shd w:val="clear" w:color="auto" w:fill="F1F2F2"/>
          </w:tcPr>
          <w:p>
            <w:pPr>
              <w:spacing w:after="0"/>
              <w:rPr>
                <w:sz w:val="24"/>
                <w:szCs w:val="24"/>
                <w:color w:val="auto"/>
              </w:rPr>
            </w:pPr>
          </w:p>
        </w:tc>
        <w:tc>
          <w:tcPr>
            <w:tcW w:w="80" w:type="dxa"/>
            <w:vAlign w:val="bottom"/>
            <w:tcBorders>
              <w:top w:val="single" w:sz="8" w:color="FFE933"/>
              <w:bottom w:val="single" w:sz="8" w:color="F1F2F2"/>
            </w:tcBorders>
            <w:shd w:val="clear" w:color="auto" w:fill="F1F2F2"/>
          </w:tcPr>
          <w:p>
            <w:pPr>
              <w:spacing w:after="0"/>
              <w:rPr>
                <w:sz w:val="24"/>
                <w:szCs w:val="24"/>
                <w:color w:val="auto"/>
              </w:rPr>
            </w:pPr>
          </w:p>
        </w:tc>
        <w:tc>
          <w:tcPr>
            <w:tcW w:w="940" w:type="dxa"/>
            <w:vAlign w:val="bottom"/>
            <w:tcBorders>
              <w:top w:val="single" w:sz="8" w:color="FFE933"/>
              <w:bottom w:val="single" w:sz="8" w:color="FFE933"/>
            </w:tcBorders>
            <w:shd w:val="clear" w:color="auto" w:fill="F1F2F2"/>
          </w:tcPr>
          <w:p>
            <w:pPr>
              <w:spacing w:after="0"/>
              <w:rPr>
                <w:sz w:val="24"/>
                <w:szCs w:val="24"/>
                <w:color w:val="auto"/>
              </w:rPr>
            </w:pPr>
          </w:p>
        </w:tc>
        <w:tc>
          <w:tcPr>
            <w:tcW w:w="2100" w:type="dxa"/>
            <w:vAlign w:val="bottom"/>
            <w:tcBorders>
              <w:top w:val="single" w:sz="8" w:color="FFE933"/>
              <w:bottom w:val="single" w:sz="8" w:color="FFE933"/>
            </w:tcBorders>
            <w:gridSpan w:val="2"/>
            <w:shd w:val="clear" w:color="auto" w:fill="F1F2F2"/>
          </w:tcPr>
          <w:p>
            <w:pPr>
              <w:jc w:val="right"/>
              <w:ind w:right="239"/>
              <w:spacing w:after="0"/>
              <w:rPr>
                <w:sz w:val="20"/>
                <w:szCs w:val="20"/>
                <w:color w:val="auto"/>
              </w:rPr>
            </w:pPr>
            <w:r>
              <w:rPr>
                <w:rFonts w:ascii="Arial" w:cs="Arial" w:eastAsia="Arial" w:hAnsi="Arial"/>
                <w:sz w:val="16"/>
                <w:szCs w:val="16"/>
                <w:b w:val="1"/>
                <w:bCs w:val="1"/>
                <w:color w:val="auto"/>
              </w:rPr>
              <w:t>Stock Awards</w:t>
            </w:r>
          </w:p>
        </w:tc>
        <w:tc>
          <w:tcPr>
            <w:tcW w:w="1340" w:type="dxa"/>
            <w:vAlign w:val="bottom"/>
            <w:tcBorders>
              <w:top w:val="single" w:sz="8" w:color="FFE933"/>
              <w:bottom w:val="single" w:sz="8" w:color="FFE933"/>
            </w:tcBorders>
            <w:shd w:val="clear" w:color="auto" w:fill="F1F2F2"/>
          </w:tcPr>
          <w:p>
            <w:pPr>
              <w:spacing w:after="0"/>
              <w:rPr>
                <w:sz w:val="24"/>
                <w:szCs w:val="24"/>
                <w:color w:val="auto"/>
              </w:rPr>
            </w:pPr>
          </w:p>
        </w:tc>
      </w:tr>
      <w:tr>
        <w:trPr>
          <w:trHeight w:val="175"/>
        </w:trPr>
        <w:tc>
          <w:tcPr>
            <w:tcW w:w="1720" w:type="dxa"/>
            <w:vAlign w:val="bottom"/>
            <w:shd w:val="clear" w:color="auto" w:fill="F1F2F2"/>
          </w:tcPr>
          <w:p>
            <w:pPr>
              <w:spacing w:after="0"/>
              <w:rPr>
                <w:sz w:val="15"/>
                <w:szCs w:val="15"/>
                <w:color w:val="auto"/>
              </w:rPr>
            </w:pPr>
          </w:p>
        </w:tc>
        <w:tc>
          <w:tcPr>
            <w:tcW w:w="100" w:type="dxa"/>
            <w:vAlign w:val="bottom"/>
            <w:shd w:val="clear" w:color="auto" w:fill="F1F2F2"/>
          </w:tcPr>
          <w:p>
            <w:pPr>
              <w:spacing w:after="0"/>
              <w:rPr>
                <w:sz w:val="15"/>
                <w:szCs w:val="15"/>
                <w:color w:val="auto"/>
              </w:rPr>
            </w:pPr>
          </w:p>
        </w:tc>
        <w:tc>
          <w:tcPr>
            <w:tcW w:w="840" w:type="dxa"/>
            <w:vAlign w:val="bottom"/>
            <w:shd w:val="clear" w:color="auto" w:fill="F1F2F2"/>
          </w:tcPr>
          <w:p>
            <w:pPr>
              <w:spacing w:after="0"/>
              <w:rPr>
                <w:sz w:val="15"/>
                <w:szCs w:val="15"/>
                <w:color w:val="auto"/>
              </w:rPr>
            </w:pPr>
          </w:p>
        </w:tc>
        <w:tc>
          <w:tcPr>
            <w:tcW w:w="1100" w:type="dxa"/>
            <w:vAlign w:val="bottom"/>
            <w:shd w:val="clear" w:color="auto" w:fill="F1F2F2"/>
          </w:tcPr>
          <w:p>
            <w:pPr>
              <w:spacing w:after="0"/>
              <w:rPr>
                <w:sz w:val="15"/>
                <w:szCs w:val="15"/>
                <w:color w:val="auto"/>
              </w:rPr>
            </w:pPr>
          </w:p>
        </w:tc>
        <w:tc>
          <w:tcPr>
            <w:tcW w:w="1240" w:type="dxa"/>
            <w:vAlign w:val="bottom"/>
            <w:shd w:val="clear" w:color="auto" w:fill="F1F2F2"/>
          </w:tcPr>
          <w:p>
            <w:pPr>
              <w:spacing w:after="0"/>
              <w:rPr>
                <w:sz w:val="15"/>
                <w:szCs w:val="15"/>
                <w:color w:val="auto"/>
              </w:rPr>
            </w:pPr>
          </w:p>
        </w:tc>
        <w:tc>
          <w:tcPr>
            <w:tcW w:w="920" w:type="dxa"/>
            <w:vAlign w:val="bottom"/>
            <w:shd w:val="clear" w:color="auto" w:fill="F1F2F2"/>
          </w:tcPr>
          <w:p>
            <w:pPr>
              <w:spacing w:after="0"/>
              <w:rPr>
                <w:sz w:val="15"/>
                <w:szCs w:val="15"/>
                <w:color w:val="auto"/>
              </w:rPr>
            </w:pPr>
          </w:p>
        </w:tc>
        <w:tc>
          <w:tcPr>
            <w:tcW w:w="860" w:type="dxa"/>
            <w:vAlign w:val="bottom"/>
            <w:shd w:val="clear" w:color="auto" w:fill="F1F2F2"/>
          </w:tcPr>
          <w:p>
            <w:pPr>
              <w:spacing w:after="0"/>
              <w:rPr>
                <w:sz w:val="15"/>
                <w:szCs w:val="15"/>
                <w:color w:val="auto"/>
              </w:rPr>
            </w:pPr>
          </w:p>
        </w:tc>
        <w:tc>
          <w:tcPr>
            <w:tcW w:w="80" w:type="dxa"/>
            <w:vAlign w:val="bottom"/>
            <w:shd w:val="clear" w:color="auto" w:fill="F1F2F2"/>
          </w:tcPr>
          <w:p>
            <w:pPr>
              <w:spacing w:after="0"/>
              <w:rPr>
                <w:sz w:val="15"/>
                <w:szCs w:val="15"/>
                <w:color w:val="auto"/>
              </w:rPr>
            </w:pPr>
          </w:p>
        </w:tc>
        <w:tc>
          <w:tcPr>
            <w:tcW w:w="940" w:type="dxa"/>
            <w:vAlign w:val="bottom"/>
            <w:shd w:val="clear" w:color="auto" w:fill="F1F2F2"/>
          </w:tcPr>
          <w:p>
            <w:pPr>
              <w:spacing w:after="0"/>
              <w:rPr>
                <w:sz w:val="15"/>
                <w:szCs w:val="15"/>
                <w:color w:val="auto"/>
              </w:rPr>
            </w:pPr>
          </w:p>
        </w:tc>
        <w:tc>
          <w:tcPr>
            <w:tcW w:w="900" w:type="dxa"/>
            <w:vAlign w:val="bottom"/>
            <w:shd w:val="clear" w:color="auto" w:fill="F1F2F2"/>
          </w:tcPr>
          <w:p>
            <w:pPr>
              <w:spacing w:after="0"/>
              <w:rPr>
                <w:sz w:val="15"/>
                <w:szCs w:val="15"/>
                <w:color w:val="auto"/>
              </w:rPr>
            </w:pPr>
          </w:p>
        </w:tc>
        <w:tc>
          <w:tcPr>
            <w:tcW w:w="1200" w:type="dxa"/>
            <w:vAlign w:val="bottom"/>
            <w:shd w:val="clear" w:color="auto" w:fill="F1F2F2"/>
          </w:tcPr>
          <w:p>
            <w:pPr>
              <w:jc w:val="right"/>
              <w:spacing w:after="0" w:line="175" w:lineRule="exact"/>
              <w:rPr>
                <w:sz w:val="20"/>
                <w:szCs w:val="20"/>
                <w:color w:val="auto"/>
              </w:rPr>
            </w:pPr>
            <w:r>
              <w:rPr>
                <w:rFonts w:ascii="Arial" w:cs="Arial" w:eastAsia="Arial" w:hAnsi="Arial"/>
                <w:sz w:val="16"/>
                <w:szCs w:val="16"/>
                <w:b w:val="1"/>
                <w:bCs w:val="1"/>
                <w:color w:val="auto"/>
              </w:rPr>
              <w:t>Equity</w:t>
            </w:r>
          </w:p>
        </w:tc>
        <w:tc>
          <w:tcPr>
            <w:tcW w:w="1340" w:type="dxa"/>
            <w:vAlign w:val="bottom"/>
            <w:shd w:val="clear" w:color="auto" w:fill="F1F2F2"/>
          </w:tcPr>
          <w:p>
            <w:pPr>
              <w:jc w:val="right"/>
              <w:spacing w:after="0" w:line="175" w:lineRule="exact"/>
              <w:rPr>
                <w:sz w:val="20"/>
                <w:szCs w:val="20"/>
                <w:color w:val="auto"/>
              </w:rPr>
            </w:pPr>
            <w:r>
              <w:rPr>
                <w:rFonts w:ascii="Arial" w:cs="Arial" w:eastAsia="Arial" w:hAnsi="Arial"/>
                <w:sz w:val="16"/>
                <w:szCs w:val="16"/>
                <w:b w:val="1"/>
                <w:bCs w:val="1"/>
                <w:color w:val="auto"/>
              </w:rPr>
              <w:t>Equity</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110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92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Incentive</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Incentive</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110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92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Plan Awards:</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Plan Awards:</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110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92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No. of</w:t>
            </w:r>
          </w:p>
        </w:tc>
        <w:tc>
          <w:tcPr>
            <w:tcW w:w="900" w:type="dxa"/>
            <w:vAlign w:val="bottom"/>
            <w:shd w:val="clear" w:color="auto" w:fill="F1F2F2"/>
          </w:tcPr>
          <w:p>
            <w:pPr>
              <w:spacing w:after="0"/>
              <w:rPr>
                <w:sz w:val="16"/>
                <w:szCs w:val="16"/>
                <w:color w:val="auto"/>
              </w:rPr>
            </w:pP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No. of</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Market or</w:t>
            </w:r>
          </w:p>
        </w:tc>
      </w:tr>
      <w:tr>
        <w:trPr>
          <w:trHeight w:val="203"/>
        </w:trPr>
        <w:tc>
          <w:tcPr>
            <w:tcW w:w="172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40" w:type="dxa"/>
            <w:vAlign w:val="bottom"/>
            <w:shd w:val="clear" w:color="auto" w:fill="F1F2F2"/>
          </w:tcPr>
          <w:p>
            <w:pPr>
              <w:spacing w:after="0"/>
              <w:rPr>
                <w:sz w:val="17"/>
                <w:szCs w:val="17"/>
                <w:color w:val="auto"/>
              </w:rPr>
            </w:pPr>
          </w:p>
        </w:tc>
        <w:tc>
          <w:tcPr>
            <w:tcW w:w="11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No. of</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No. of</w:t>
            </w:r>
          </w:p>
        </w:tc>
        <w:tc>
          <w:tcPr>
            <w:tcW w:w="92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80" w:type="dxa"/>
            <w:vAlign w:val="bottom"/>
            <w:shd w:val="clear" w:color="auto" w:fill="F1F2F2"/>
          </w:tcPr>
          <w:p>
            <w:pPr>
              <w:spacing w:after="0"/>
              <w:rPr>
                <w:sz w:val="17"/>
                <w:szCs w:val="17"/>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Market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Unearned</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Payout Value</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11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Securities</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Securities</w:t>
            </w:r>
          </w:p>
        </w:tc>
        <w:tc>
          <w:tcPr>
            <w:tcW w:w="92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or Units</w:t>
            </w:r>
          </w:p>
        </w:tc>
        <w:tc>
          <w:tcPr>
            <w:tcW w:w="9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Value of</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Shares, Units,</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of Unearned</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11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Underlying</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Underlying</w:t>
            </w:r>
          </w:p>
        </w:tc>
        <w:tc>
          <w:tcPr>
            <w:tcW w:w="92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of Stock</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Shares or</w:t>
            </w:r>
          </w:p>
        </w:tc>
        <w:tc>
          <w:tcPr>
            <w:tcW w:w="12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or other</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Shares, Units or</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11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Unexercised</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Unexercised</w:t>
            </w:r>
          </w:p>
        </w:tc>
        <w:tc>
          <w:tcPr>
            <w:tcW w:w="92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Option</w:t>
            </w:r>
          </w:p>
        </w:tc>
        <w:tc>
          <w:tcPr>
            <w:tcW w:w="86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that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Units that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Rights that</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other Rights</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40" w:type="dxa"/>
            <w:vAlign w:val="bottom"/>
            <w:shd w:val="clear" w:color="auto" w:fill="F1F2F2"/>
          </w:tcPr>
          <w:p>
            <w:pPr>
              <w:spacing w:after="0"/>
              <w:rPr>
                <w:sz w:val="16"/>
                <w:szCs w:val="16"/>
                <w:color w:val="auto"/>
              </w:rPr>
            </w:pPr>
          </w:p>
        </w:tc>
        <w:tc>
          <w:tcPr>
            <w:tcW w:w="11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Options</w:t>
            </w:r>
          </w:p>
        </w:tc>
        <w:tc>
          <w:tcPr>
            <w:tcW w:w="1240" w:type="dxa"/>
            <w:vAlign w:val="bottom"/>
            <w:shd w:val="clear" w:color="auto" w:fill="F1F2F2"/>
          </w:tcPr>
          <w:p>
            <w:pPr>
              <w:jc w:val="right"/>
              <w:ind w:right="99"/>
              <w:spacing w:after="0"/>
              <w:rPr>
                <w:sz w:val="20"/>
                <w:szCs w:val="20"/>
                <w:color w:val="auto"/>
              </w:rPr>
            </w:pPr>
            <w:r>
              <w:rPr>
                <w:rFonts w:ascii="Arial" w:cs="Arial" w:eastAsia="Arial" w:hAnsi="Arial"/>
                <w:sz w:val="16"/>
                <w:szCs w:val="16"/>
                <w:b w:val="1"/>
                <w:bCs w:val="1"/>
                <w:color w:val="auto"/>
              </w:rPr>
              <w:t>Options</w:t>
            </w:r>
          </w:p>
        </w:tc>
        <w:tc>
          <w:tcPr>
            <w:tcW w:w="92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Exercise</w:t>
            </w:r>
          </w:p>
        </w:tc>
        <w:tc>
          <w:tcPr>
            <w:tcW w:w="940" w:type="dxa"/>
            <w:vAlign w:val="bottom"/>
            <w:gridSpan w:val="2"/>
            <w:shd w:val="clear" w:color="auto" w:fill="F1F2F2"/>
          </w:tcPr>
          <w:p>
            <w:pPr>
              <w:jc w:val="right"/>
              <w:ind w:right="140"/>
              <w:spacing w:after="0"/>
              <w:rPr>
                <w:sz w:val="20"/>
                <w:szCs w:val="20"/>
                <w:color w:val="auto"/>
              </w:rPr>
            </w:pPr>
            <w:r>
              <w:rPr>
                <w:rFonts w:ascii="Arial" w:cs="Arial" w:eastAsia="Arial" w:hAnsi="Arial"/>
                <w:sz w:val="16"/>
                <w:szCs w:val="16"/>
                <w:b w:val="1"/>
                <w:bCs w:val="1"/>
                <w:color w:val="auto"/>
              </w:rPr>
              <w:t>Option</w:t>
            </w: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have not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have not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have not</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that have not</w:t>
            </w:r>
          </w:p>
        </w:tc>
      </w:tr>
      <w:tr>
        <w:trPr>
          <w:trHeight w:val="215"/>
        </w:trPr>
        <w:tc>
          <w:tcPr>
            <w:tcW w:w="172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8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Grant</w:t>
            </w:r>
          </w:p>
        </w:tc>
        <w:tc>
          <w:tcPr>
            <w:tcW w:w="110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Exercisable</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w w:val="99"/>
              </w:rPr>
              <w:t>Unexercisable</w:t>
            </w:r>
          </w:p>
        </w:tc>
        <w:tc>
          <w:tcPr>
            <w:tcW w:w="92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Price</w:t>
            </w:r>
          </w:p>
        </w:tc>
        <w:tc>
          <w:tcPr>
            <w:tcW w:w="940" w:type="dxa"/>
            <w:vAlign w:val="bottom"/>
            <w:gridSpan w:val="2"/>
            <w:shd w:val="clear" w:color="auto" w:fill="F1F2F2"/>
          </w:tcPr>
          <w:p>
            <w:pPr>
              <w:jc w:val="right"/>
              <w:ind w:right="140"/>
              <w:spacing w:after="0"/>
              <w:rPr>
                <w:sz w:val="20"/>
                <w:szCs w:val="20"/>
                <w:color w:val="auto"/>
              </w:rPr>
            </w:pPr>
            <w:r>
              <w:rPr>
                <w:rFonts w:ascii="Arial" w:cs="Arial" w:eastAsia="Arial" w:hAnsi="Arial"/>
                <w:sz w:val="16"/>
                <w:szCs w:val="16"/>
                <w:b w:val="1"/>
                <w:bCs w:val="1"/>
                <w:color w:val="auto"/>
                <w:w w:val="99"/>
              </w:rPr>
              <w:t>Expiration</w:t>
            </w:r>
          </w:p>
        </w:tc>
        <w:tc>
          <w:tcPr>
            <w:tcW w:w="940" w:type="dxa"/>
            <w:vAlign w:val="bottom"/>
            <w:shd w:val="clear" w:color="auto" w:fill="F1F2F2"/>
          </w:tcPr>
          <w:p>
            <w:pPr>
              <w:jc w:val="right"/>
              <w:ind w:right="19"/>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(2)</w:t>
            </w:r>
          </w:p>
        </w:tc>
        <w:tc>
          <w:tcPr>
            <w:tcW w:w="900" w:type="dxa"/>
            <w:vAlign w:val="bottom"/>
            <w:shd w:val="clear" w:color="auto" w:fill="F1F2F2"/>
          </w:tcPr>
          <w:p>
            <w:pPr>
              <w:jc w:val="right"/>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(3)</w:t>
            </w:r>
          </w:p>
        </w:tc>
        <w:tc>
          <w:tcPr>
            <w:tcW w:w="1200" w:type="dxa"/>
            <w:vAlign w:val="bottom"/>
            <w:shd w:val="clear" w:color="auto" w:fill="F1F2F2"/>
          </w:tcPr>
          <w:p>
            <w:pPr>
              <w:jc w:val="right"/>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(4)</w:t>
            </w:r>
          </w:p>
        </w:tc>
        <w:tc>
          <w:tcPr>
            <w:tcW w:w="1340" w:type="dxa"/>
            <w:vAlign w:val="bottom"/>
            <w:shd w:val="clear" w:color="auto" w:fill="F1F2F2"/>
          </w:tcPr>
          <w:p>
            <w:pPr>
              <w:jc w:val="right"/>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(5)</w:t>
            </w:r>
          </w:p>
        </w:tc>
      </w:tr>
      <w:tr>
        <w:trPr>
          <w:trHeight w:val="203"/>
        </w:trPr>
        <w:tc>
          <w:tcPr>
            <w:tcW w:w="172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w:t>
            </w:r>
          </w:p>
        </w:tc>
        <w:tc>
          <w:tcPr>
            <w:tcW w:w="100" w:type="dxa"/>
            <w:vAlign w:val="bottom"/>
            <w:shd w:val="clear" w:color="auto" w:fill="F1F2F2"/>
          </w:tcPr>
          <w:p>
            <w:pPr>
              <w:spacing w:after="0"/>
              <w:rPr>
                <w:sz w:val="17"/>
                <w:szCs w:val="17"/>
                <w:color w:val="auto"/>
              </w:rPr>
            </w:pPr>
          </w:p>
        </w:tc>
        <w:tc>
          <w:tcPr>
            <w:tcW w:w="8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Date</w:t>
            </w:r>
          </w:p>
        </w:tc>
        <w:tc>
          <w:tcPr>
            <w:tcW w:w="11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F1F2F2"/>
          </w:tcPr>
          <w:p>
            <w:pPr>
              <w:ind w:left="500"/>
              <w:spacing w:after="0"/>
              <w:rPr>
                <w:sz w:val="20"/>
                <w:szCs w:val="20"/>
                <w:color w:val="auto"/>
              </w:rPr>
            </w:pPr>
            <w:r>
              <w:rPr>
                <w:rFonts w:ascii="Arial" w:cs="Arial" w:eastAsia="Arial" w:hAnsi="Arial"/>
                <w:sz w:val="16"/>
                <w:szCs w:val="16"/>
                <w:b w:val="1"/>
                <w:bCs w:val="1"/>
                <w:color w:val="auto"/>
              </w:rPr>
              <w:t>Date</w:t>
            </w: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r>
      <w:tr>
        <w:trPr>
          <w:trHeight w:val="189"/>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GERBEN W.</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2/10/21</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9,845</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163.26</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2/10/31</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BAKKER</w:t>
            </w:r>
          </w:p>
        </w:tc>
        <w:tc>
          <w:tcPr>
            <w:tcW w:w="100" w:type="dxa"/>
            <w:vAlign w:val="bottom"/>
          </w:tcPr>
          <w:p>
            <w:pPr>
              <w:spacing w:after="0"/>
              <w:rPr>
                <w:sz w:val="15"/>
                <w:szCs w:val="15"/>
                <w:color w:val="auto"/>
              </w:rPr>
            </w:pPr>
          </w:p>
        </w:tc>
        <w:tc>
          <w:tcPr>
            <w:tcW w:w="8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2/8/22</w:t>
            </w:r>
          </w:p>
        </w:tc>
        <w:tc>
          <w:tcPr>
            <w:tcW w:w="110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29,936</w:t>
            </w:r>
          </w:p>
        </w:tc>
        <w:tc>
          <w:tcPr>
            <w:tcW w:w="124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185.87</w:t>
            </w:r>
          </w:p>
        </w:tc>
        <w:tc>
          <w:tcPr>
            <w:tcW w:w="940" w:type="dxa"/>
            <w:vAlign w:val="bottom"/>
            <w:tcBorders>
              <w:top w:val="single" w:sz="8" w:color="BCBEC0"/>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2/8/32</w:t>
            </w:r>
          </w:p>
        </w:tc>
        <w:tc>
          <w:tcPr>
            <w:tcW w:w="94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2/7/23</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15,250</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7,625</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241.17</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2/7/33</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5,784</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2,568,732</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11,569</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5,137,909</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2/6/24</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5,547</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11,094</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352.55</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2/6/34</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4,155</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1,845,277</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8,311</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3,690,998</w:t>
            </w:r>
          </w:p>
        </w:tc>
      </w:tr>
      <w:tr>
        <w:trPr>
          <w:trHeight w:val="183"/>
        </w:trPr>
        <w:tc>
          <w:tcPr>
            <w:tcW w:w="1720" w:type="dxa"/>
            <w:vAlign w:val="bottom"/>
            <w:tcBorders>
              <w:bottom w:val="single" w:sz="8" w:color="BCBEC0"/>
            </w:tcBorders>
          </w:tcPr>
          <w:p>
            <w:pPr>
              <w:spacing w:after="0"/>
              <w:rPr>
                <w:sz w:val="15"/>
                <w:szCs w:val="15"/>
                <w:color w:val="auto"/>
              </w:rPr>
            </w:pPr>
          </w:p>
        </w:tc>
        <w:tc>
          <w:tcPr>
            <w:tcW w:w="100" w:type="dxa"/>
            <w:vAlign w:val="bottom"/>
            <w:tcBorders>
              <w:bottom w:val="single" w:sz="8" w:color="BCBEC0"/>
            </w:tcBorders>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2/18/25</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18,360</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2/18/35</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4,677</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2,077,102</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9,354</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4,154,205</w:t>
            </w:r>
          </w:p>
        </w:tc>
      </w:tr>
      <w:tr>
        <w:trPr>
          <w:trHeight w:val="183"/>
        </w:trPr>
        <w:tc>
          <w:tcPr>
            <w:tcW w:w="1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WILLIAM R. SPERRY</w:t>
            </w: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2/10/21</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4,956</w:t>
            </w:r>
          </w:p>
        </w:tc>
        <w:tc>
          <w:tcPr>
            <w:tcW w:w="12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163.26</w:t>
            </w:r>
          </w:p>
        </w:tc>
        <w:tc>
          <w:tcPr>
            <w:tcW w:w="9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2/10/31</w:t>
            </w: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2/8/22</w:t>
            </w:r>
          </w:p>
        </w:tc>
        <w:tc>
          <w:tcPr>
            <w:tcW w:w="110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11,465</w:t>
            </w:r>
          </w:p>
        </w:tc>
        <w:tc>
          <w:tcPr>
            <w:tcW w:w="124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185.87</w:t>
            </w:r>
          </w:p>
        </w:tc>
        <w:tc>
          <w:tcPr>
            <w:tcW w:w="940" w:type="dxa"/>
            <w:vAlign w:val="bottom"/>
            <w:tcBorders>
              <w:top w:val="single" w:sz="8" w:color="BCBEC0"/>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2/8/32</w:t>
            </w:r>
          </w:p>
        </w:tc>
        <w:tc>
          <w:tcPr>
            <w:tcW w:w="94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2/7/23</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5,329</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2,665</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241.17</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2/7/33</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2,021</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897,546</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4,043</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1,795,537</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2/6/24</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1,893</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3,787</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352.55</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2/6/34</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1,418</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629,748</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2,836</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1,259,496</w:t>
            </w:r>
          </w:p>
        </w:tc>
      </w:tr>
      <w:tr>
        <w:trPr>
          <w:trHeight w:val="183"/>
        </w:trPr>
        <w:tc>
          <w:tcPr>
            <w:tcW w:w="1720" w:type="dxa"/>
            <w:vAlign w:val="bottom"/>
            <w:tcBorders>
              <w:bottom w:val="single" w:sz="8" w:color="BCBEC0"/>
            </w:tcBorders>
          </w:tcPr>
          <w:p>
            <w:pPr>
              <w:spacing w:after="0"/>
              <w:rPr>
                <w:sz w:val="15"/>
                <w:szCs w:val="15"/>
                <w:color w:val="auto"/>
              </w:rPr>
            </w:pPr>
          </w:p>
        </w:tc>
        <w:tc>
          <w:tcPr>
            <w:tcW w:w="100" w:type="dxa"/>
            <w:vAlign w:val="bottom"/>
            <w:tcBorders>
              <w:bottom w:val="single" w:sz="8" w:color="BCBEC0"/>
            </w:tcBorders>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2/18/25</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9,986</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2/18/35</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2,544</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1,129,816</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2,543</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1,129,372</w:t>
            </w:r>
          </w:p>
        </w:tc>
      </w:tr>
      <w:tr>
        <w:trPr>
          <w:trHeight w:val="183"/>
        </w:trPr>
        <w:tc>
          <w:tcPr>
            <w:tcW w:w="1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2/10/21</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36</w:t>
            </w:r>
          </w:p>
        </w:tc>
        <w:tc>
          <w:tcPr>
            <w:tcW w:w="12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163.26</w:t>
            </w:r>
          </w:p>
        </w:tc>
        <w:tc>
          <w:tcPr>
            <w:tcW w:w="9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2/10/31</w:t>
            </w: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2/8/22</w:t>
            </w:r>
          </w:p>
        </w:tc>
        <w:tc>
          <w:tcPr>
            <w:tcW w:w="110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797</w:t>
            </w:r>
          </w:p>
        </w:tc>
        <w:tc>
          <w:tcPr>
            <w:tcW w:w="124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w:t>
            </w:r>
          </w:p>
        </w:tc>
        <w:tc>
          <w:tcPr>
            <w:tcW w:w="92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185.87</w:t>
            </w:r>
          </w:p>
        </w:tc>
        <w:tc>
          <w:tcPr>
            <w:tcW w:w="940" w:type="dxa"/>
            <w:vAlign w:val="bottom"/>
            <w:tcBorders>
              <w:top w:val="single" w:sz="8" w:color="BCBEC0"/>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2/8/32</w:t>
            </w:r>
          </w:p>
        </w:tc>
        <w:tc>
          <w:tcPr>
            <w:tcW w:w="94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2/7/23</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1,230</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1,231</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241.17</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2/7/33</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933</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414,355</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829</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368,167</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7/6/23</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575</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576</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328.73</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7/6/33</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456</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202,514</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2/6/24</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1,419</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2,841</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352.55</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2/6/34</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1,064</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472,533</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1,418</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629,748</w:t>
            </w:r>
          </w:p>
        </w:tc>
      </w:tr>
      <w:tr>
        <w:trPr>
          <w:trHeight w:val="183"/>
        </w:trPr>
        <w:tc>
          <w:tcPr>
            <w:tcW w:w="1720" w:type="dxa"/>
            <w:vAlign w:val="bottom"/>
            <w:tcBorders>
              <w:bottom w:val="single" w:sz="8" w:color="BCBEC0"/>
            </w:tcBorders>
          </w:tcPr>
          <w:p>
            <w:pPr>
              <w:spacing w:after="0"/>
              <w:rPr>
                <w:sz w:val="15"/>
                <w:szCs w:val="15"/>
                <w:color w:val="auto"/>
              </w:rPr>
            </w:pPr>
          </w:p>
        </w:tc>
        <w:tc>
          <w:tcPr>
            <w:tcW w:w="100" w:type="dxa"/>
            <w:vAlign w:val="bottom"/>
            <w:tcBorders>
              <w:bottom w:val="single" w:sz="8" w:color="BCBEC0"/>
            </w:tcBorders>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2/18/25</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2,746</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2/18/35</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699</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310,433</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1,399</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621,310</w:t>
            </w:r>
          </w:p>
        </w:tc>
      </w:tr>
      <w:tr>
        <w:trPr>
          <w:trHeight w:val="183"/>
        </w:trPr>
        <w:tc>
          <w:tcPr>
            <w:tcW w:w="1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GREGORY A.</w:t>
            </w:r>
          </w:p>
        </w:tc>
        <w:tc>
          <w:tcPr>
            <w:tcW w:w="9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7/6/23</w:t>
            </w:r>
          </w:p>
        </w:tc>
        <w:tc>
          <w:tcPr>
            <w:tcW w:w="1100" w:type="dxa"/>
            <w:vAlign w:val="bottom"/>
          </w:tcPr>
          <w:p>
            <w:pPr>
              <w:jc w:val="right"/>
              <w:ind w:right="19"/>
              <w:spacing w:after="0" w:line="183" w:lineRule="exact"/>
              <w:rPr>
                <w:sz w:val="20"/>
                <w:szCs w:val="20"/>
                <w:color w:val="auto"/>
              </w:rPr>
            </w:pPr>
            <w:r>
              <w:rPr>
                <w:rFonts w:ascii="Arial" w:cs="Arial" w:eastAsia="Arial" w:hAnsi="Arial"/>
                <w:sz w:val="16"/>
                <w:szCs w:val="16"/>
                <w:color w:val="auto"/>
              </w:rPr>
              <w:t>3,355</w:t>
            </w:r>
          </w:p>
        </w:tc>
        <w:tc>
          <w:tcPr>
            <w:tcW w:w="1240" w:type="dxa"/>
            <w:vAlign w:val="bottom"/>
          </w:tcPr>
          <w:p>
            <w:pPr>
              <w:jc w:val="right"/>
              <w:ind w:right="59"/>
              <w:spacing w:after="0" w:line="183" w:lineRule="exact"/>
              <w:rPr>
                <w:sz w:val="20"/>
                <w:szCs w:val="20"/>
                <w:color w:val="auto"/>
              </w:rPr>
            </w:pPr>
            <w:r>
              <w:rPr>
                <w:rFonts w:ascii="Arial" w:cs="Arial" w:eastAsia="Arial" w:hAnsi="Arial"/>
                <w:sz w:val="16"/>
                <w:szCs w:val="16"/>
                <w:color w:val="auto"/>
              </w:rPr>
              <w:t>1,678</w:t>
            </w:r>
          </w:p>
        </w:tc>
        <w:tc>
          <w:tcPr>
            <w:tcW w:w="920" w:type="dxa"/>
            <w:vAlign w:val="bottom"/>
          </w:tcPr>
          <w:p>
            <w:pPr>
              <w:jc w:val="right"/>
              <w:ind w:right="59"/>
              <w:spacing w:after="0" w:line="183" w:lineRule="exact"/>
              <w:rPr>
                <w:sz w:val="20"/>
                <w:szCs w:val="20"/>
                <w:color w:val="auto"/>
              </w:rPr>
            </w:pPr>
            <w:r>
              <w:rPr>
                <w:rFonts w:ascii="Arial" w:cs="Arial" w:eastAsia="Arial" w:hAnsi="Arial"/>
                <w:sz w:val="16"/>
                <w:szCs w:val="16"/>
                <w:color w:val="auto"/>
              </w:rPr>
              <w:t>328.73</w:t>
            </w:r>
          </w:p>
        </w:tc>
        <w:tc>
          <w:tcPr>
            <w:tcW w:w="94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7/6/33</w:t>
            </w:r>
          </w:p>
        </w:tc>
        <w:tc>
          <w:tcPr>
            <w:tcW w:w="940" w:type="dxa"/>
            <w:vAlign w:val="bottom"/>
          </w:tcPr>
          <w:p>
            <w:pPr>
              <w:jc w:val="right"/>
              <w:ind w:right="19"/>
              <w:spacing w:after="0" w:line="183" w:lineRule="exact"/>
              <w:rPr>
                <w:sz w:val="20"/>
                <w:szCs w:val="20"/>
                <w:color w:val="auto"/>
              </w:rPr>
            </w:pPr>
            <w:r>
              <w:rPr>
                <w:rFonts w:ascii="Arial" w:cs="Arial" w:eastAsia="Arial" w:hAnsi="Arial"/>
                <w:sz w:val="16"/>
                <w:szCs w:val="16"/>
                <w:color w:val="auto"/>
              </w:rPr>
              <w:t>1,331</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591,110</w:t>
            </w:r>
          </w:p>
        </w:tc>
        <w:tc>
          <w:tcPr>
            <w:tcW w:w="12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GUMBS</w:t>
            </w:r>
          </w:p>
        </w:tc>
        <w:tc>
          <w:tcPr>
            <w:tcW w:w="100" w:type="dxa"/>
            <w:vAlign w:val="bottom"/>
          </w:tcPr>
          <w:p>
            <w:pPr>
              <w:spacing w:after="0"/>
              <w:rPr>
                <w:sz w:val="15"/>
                <w:szCs w:val="15"/>
                <w:color w:val="auto"/>
              </w:rPr>
            </w:pPr>
          </w:p>
        </w:tc>
        <w:tc>
          <w:tcPr>
            <w:tcW w:w="8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2/6/24</w:t>
            </w:r>
          </w:p>
        </w:tc>
        <w:tc>
          <w:tcPr>
            <w:tcW w:w="110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946</w:t>
            </w:r>
          </w:p>
        </w:tc>
        <w:tc>
          <w:tcPr>
            <w:tcW w:w="124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1,894</w:t>
            </w:r>
          </w:p>
        </w:tc>
        <w:tc>
          <w:tcPr>
            <w:tcW w:w="92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352.55</w:t>
            </w:r>
          </w:p>
        </w:tc>
        <w:tc>
          <w:tcPr>
            <w:tcW w:w="940" w:type="dxa"/>
            <w:vAlign w:val="bottom"/>
            <w:tcBorders>
              <w:top w:val="single" w:sz="8" w:color="BCBEC0"/>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2/6/34</w:t>
            </w:r>
          </w:p>
        </w:tc>
        <w:tc>
          <w:tcPr>
            <w:tcW w:w="94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709</w:t>
            </w:r>
          </w:p>
        </w:tc>
        <w:tc>
          <w:tcPr>
            <w:tcW w:w="9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314,874</w:t>
            </w:r>
          </w:p>
        </w:tc>
        <w:tc>
          <w:tcPr>
            <w:tcW w:w="12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1,418</w:t>
            </w:r>
          </w:p>
        </w:tc>
        <w:tc>
          <w:tcPr>
            <w:tcW w:w="13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629,748</w:t>
            </w:r>
          </w:p>
        </w:tc>
      </w:tr>
      <w:tr>
        <w:trPr>
          <w:trHeight w:val="183"/>
        </w:trPr>
        <w:tc>
          <w:tcPr>
            <w:tcW w:w="1720" w:type="dxa"/>
            <w:vAlign w:val="bottom"/>
            <w:tcBorders>
              <w:bottom w:val="single" w:sz="8" w:color="BCBEC0"/>
            </w:tcBorders>
          </w:tcPr>
          <w:p>
            <w:pPr>
              <w:spacing w:after="0"/>
              <w:rPr>
                <w:sz w:val="15"/>
                <w:szCs w:val="15"/>
                <w:color w:val="auto"/>
              </w:rPr>
            </w:pPr>
          </w:p>
        </w:tc>
        <w:tc>
          <w:tcPr>
            <w:tcW w:w="100" w:type="dxa"/>
            <w:vAlign w:val="bottom"/>
            <w:tcBorders>
              <w:bottom w:val="single" w:sz="8" w:color="BCBEC0"/>
            </w:tcBorders>
          </w:tcPr>
          <w:p>
            <w:pPr>
              <w:spacing w:after="0"/>
              <w:rPr>
                <w:sz w:val="15"/>
                <w:szCs w:val="15"/>
                <w:color w:val="auto"/>
              </w:rPr>
            </w:pPr>
          </w:p>
        </w:tc>
        <w:tc>
          <w:tcPr>
            <w:tcW w:w="8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2/18/25</w:t>
            </w:r>
          </w:p>
        </w:tc>
        <w:tc>
          <w:tcPr>
            <w:tcW w:w="110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2,746</w:t>
            </w:r>
          </w:p>
        </w:tc>
        <w:tc>
          <w:tcPr>
            <w:tcW w:w="92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393.16</w:t>
            </w:r>
          </w:p>
        </w:tc>
        <w:tc>
          <w:tcPr>
            <w:tcW w:w="94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2/18/35</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699</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310,433</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1,399</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621,310</w:t>
            </w:r>
          </w:p>
        </w:tc>
      </w:tr>
    </w:tbl>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62</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3" w:name="page64"/>
    <w:bookmarkEnd w:id="6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344"/>
        </w:trPr>
        <w:tc>
          <w:tcPr>
            <w:tcW w:w="1720" w:type="dxa"/>
            <w:vAlign w:val="bottom"/>
            <w:tcBorders>
              <w:top w:val="single" w:sz="8" w:color="FFE933"/>
              <w:bottom w:val="single" w:sz="8" w:color="F1F2F2"/>
            </w:tcBorders>
            <w:shd w:val="clear" w:color="auto" w:fill="F1F2F2"/>
          </w:tcPr>
          <w:p>
            <w:pPr>
              <w:spacing w:after="0"/>
              <w:rPr>
                <w:sz w:val="24"/>
                <w:szCs w:val="24"/>
                <w:color w:val="auto"/>
              </w:rPr>
            </w:pPr>
          </w:p>
        </w:tc>
        <w:tc>
          <w:tcPr>
            <w:tcW w:w="100" w:type="dxa"/>
            <w:vAlign w:val="bottom"/>
            <w:tcBorders>
              <w:top w:val="single" w:sz="8" w:color="FFE933"/>
              <w:bottom w:val="single" w:sz="8" w:color="F1F2F2"/>
            </w:tcBorders>
            <w:shd w:val="clear" w:color="auto" w:fill="F1F2F2"/>
          </w:tcPr>
          <w:p>
            <w:pPr>
              <w:spacing w:after="0"/>
              <w:rPr>
                <w:sz w:val="24"/>
                <w:szCs w:val="24"/>
                <w:color w:val="auto"/>
              </w:rPr>
            </w:pPr>
          </w:p>
        </w:tc>
        <w:tc>
          <w:tcPr>
            <w:tcW w:w="860" w:type="dxa"/>
            <w:vAlign w:val="bottom"/>
            <w:tcBorders>
              <w:top w:val="single" w:sz="8" w:color="FFE933"/>
              <w:bottom w:val="single" w:sz="8" w:color="F1F2F2"/>
            </w:tcBorders>
            <w:shd w:val="clear" w:color="auto" w:fill="F1F2F2"/>
          </w:tcPr>
          <w:p>
            <w:pPr>
              <w:spacing w:after="0"/>
              <w:rPr>
                <w:sz w:val="24"/>
                <w:szCs w:val="24"/>
                <w:color w:val="auto"/>
              </w:rPr>
            </w:pPr>
          </w:p>
        </w:tc>
        <w:tc>
          <w:tcPr>
            <w:tcW w:w="1100" w:type="dxa"/>
            <w:vAlign w:val="bottom"/>
            <w:tcBorders>
              <w:top w:val="single" w:sz="8" w:color="FFE933"/>
              <w:bottom w:val="single" w:sz="8" w:color="F1F2F2"/>
            </w:tcBorders>
            <w:shd w:val="clear" w:color="auto" w:fill="F1F2F2"/>
          </w:tcPr>
          <w:p>
            <w:pPr>
              <w:spacing w:after="0"/>
              <w:rPr>
                <w:sz w:val="24"/>
                <w:szCs w:val="24"/>
                <w:color w:val="auto"/>
              </w:rPr>
            </w:pPr>
          </w:p>
        </w:tc>
        <w:tc>
          <w:tcPr>
            <w:tcW w:w="2180" w:type="dxa"/>
            <w:vAlign w:val="bottom"/>
            <w:tcBorders>
              <w:top w:val="single" w:sz="8" w:color="FFE933"/>
              <w:bottom w:val="single" w:sz="8" w:color="FFE933"/>
            </w:tcBorders>
            <w:gridSpan w:val="2"/>
            <w:shd w:val="clear" w:color="auto" w:fill="F1F2F2"/>
          </w:tcPr>
          <w:p>
            <w:pPr>
              <w:jc w:val="right"/>
              <w:spacing w:after="0"/>
              <w:rPr>
                <w:sz w:val="20"/>
                <w:szCs w:val="20"/>
                <w:color w:val="auto"/>
              </w:rPr>
            </w:pPr>
            <w:r>
              <w:rPr>
                <w:rFonts w:ascii="Arial" w:cs="Arial" w:eastAsia="Arial" w:hAnsi="Arial"/>
                <w:sz w:val="16"/>
                <w:szCs w:val="16"/>
                <w:b w:val="1"/>
                <w:bCs w:val="1"/>
                <w:color w:val="auto"/>
              </w:rPr>
              <w:t>Option Awards</w:t>
            </w:r>
            <w:r>
              <w:rPr>
                <w:rFonts w:ascii="Arial" w:cs="Arial" w:eastAsia="Arial" w:hAnsi="Arial"/>
                <w:sz w:val="26"/>
                <w:szCs w:val="26"/>
                <w:b w:val="1"/>
                <w:bCs w:val="1"/>
                <w:color w:val="auto"/>
                <w:vertAlign w:val="superscript"/>
              </w:rPr>
              <w:t>(1)</w:t>
            </w:r>
          </w:p>
        </w:tc>
        <w:tc>
          <w:tcPr>
            <w:tcW w:w="820" w:type="dxa"/>
            <w:vAlign w:val="bottom"/>
            <w:tcBorders>
              <w:top w:val="single" w:sz="8" w:color="FFE933"/>
              <w:bottom w:val="single" w:sz="8" w:color="FFE933"/>
            </w:tcBorders>
            <w:shd w:val="clear" w:color="auto" w:fill="F1F2F2"/>
          </w:tcPr>
          <w:p>
            <w:pPr>
              <w:spacing w:after="0"/>
              <w:rPr>
                <w:sz w:val="24"/>
                <w:szCs w:val="24"/>
                <w:color w:val="auto"/>
              </w:rPr>
            </w:pPr>
          </w:p>
        </w:tc>
        <w:tc>
          <w:tcPr>
            <w:tcW w:w="80" w:type="dxa"/>
            <w:vAlign w:val="bottom"/>
            <w:tcBorders>
              <w:top w:val="single" w:sz="8" w:color="FFE933"/>
              <w:bottom w:val="single" w:sz="8" w:color="F1F2F2"/>
            </w:tcBorders>
            <w:shd w:val="clear" w:color="auto" w:fill="F1F2F2"/>
          </w:tcPr>
          <w:p>
            <w:pPr>
              <w:spacing w:after="0"/>
              <w:rPr>
                <w:sz w:val="24"/>
                <w:szCs w:val="24"/>
                <w:color w:val="auto"/>
              </w:rPr>
            </w:pPr>
          </w:p>
        </w:tc>
        <w:tc>
          <w:tcPr>
            <w:tcW w:w="940" w:type="dxa"/>
            <w:vAlign w:val="bottom"/>
            <w:tcBorders>
              <w:top w:val="single" w:sz="8" w:color="FFE933"/>
              <w:bottom w:val="single" w:sz="8" w:color="FFE933"/>
            </w:tcBorders>
            <w:shd w:val="clear" w:color="auto" w:fill="F1F2F2"/>
          </w:tcPr>
          <w:p>
            <w:pPr>
              <w:spacing w:after="0"/>
              <w:rPr>
                <w:sz w:val="24"/>
                <w:szCs w:val="24"/>
                <w:color w:val="auto"/>
              </w:rPr>
            </w:pPr>
          </w:p>
        </w:tc>
        <w:tc>
          <w:tcPr>
            <w:tcW w:w="2100" w:type="dxa"/>
            <w:vAlign w:val="bottom"/>
            <w:tcBorders>
              <w:top w:val="single" w:sz="8" w:color="FFE933"/>
              <w:bottom w:val="single" w:sz="8" w:color="FFE933"/>
            </w:tcBorders>
            <w:gridSpan w:val="2"/>
            <w:shd w:val="clear" w:color="auto" w:fill="F1F2F2"/>
          </w:tcPr>
          <w:p>
            <w:pPr>
              <w:jc w:val="right"/>
              <w:ind w:right="239"/>
              <w:spacing w:after="0"/>
              <w:rPr>
                <w:sz w:val="20"/>
                <w:szCs w:val="20"/>
                <w:color w:val="auto"/>
              </w:rPr>
            </w:pPr>
            <w:r>
              <w:rPr>
                <w:rFonts w:ascii="Arial" w:cs="Arial" w:eastAsia="Arial" w:hAnsi="Arial"/>
                <w:sz w:val="16"/>
                <w:szCs w:val="16"/>
                <w:b w:val="1"/>
                <w:bCs w:val="1"/>
                <w:color w:val="auto"/>
              </w:rPr>
              <w:t>Stock Awards</w:t>
            </w:r>
          </w:p>
        </w:tc>
        <w:tc>
          <w:tcPr>
            <w:tcW w:w="1340" w:type="dxa"/>
            <w:vAlign w:val="bottom"/>
            <w:tcBorders>
              <w:top w:val="single" w:sz="8" w:color="FFE933"/>
              <w:bottom w:val="single" w:sz="8" w:color="FFE933"/>
            </w:tcBorders>
            <w:shd w:val="clear" w:color="auto" w:fill="F1F2F2"/>
          </w:tcPr>
          <w:p>
            <w:pPr>
              <w:spacing w:after="0"/>
              <w:rPr>
                <w:sz w:val="24"/>
                <w:szCs w:val="24"/>
                <w:color w:val="auto"/>
              </w:rPr>
            </w:pPr>
          </w:p>
        </w:tc>
      </w:tr>
      <w:tr>
        <w:trPr>
          <w:trHeight w:val="175"/>
        </w:trPr>
        <w:tc>
          <w:tcPr>
            <w:tcW w:w="1720" w:type="dxa"/>
            <w:vAlign w:val="bottom"/>
            <w:shd w:val="clear" w:color="auto" w:fill="F1F2F2"/>
          </w:tcPr>
          <w:p>
            <w:pPr>
              <w:spacing w:after="0"/>
              <w:rPr>
                <w:sz w:val="15"/>
                <w:szCs w:val="15"/>
                <w:color w:val="auto"/>
              </w:rPr>
            </w:pPr>
          </w:p>
        </w:tc>
        <w:tc>
          <w:tcPr>
            <w:tcW w:w="100" w:type="dxa"/>
            <w:vAlign w:val="bottom"/>
            <w:shd w:val="clear" w:color="auto" w:fill="F1F2F2"/>
          </w:tcPr>
          <w:p>
            <w:pPr>
              <w:spacing w:after="0"/>
              <w:rPr>
                <w:sz w:val="15"/>
                <w:szCs w:val="15"/>
                <w:color w:val="auto"/>
              </w:rPr>
            </w:pPr>
          </w:p>
        </w:tc>
        <w:tc>
          <w:tcPr>
            <w:tcW w:w="860" w:type="dxa"/>
            <w:vAlign w:val="bottom"/>
            <w:shd w:val="clear" w:color="auto" w:fill="F1F2F2"/>
          </w:tcPr>
          <w:p>
            <w:pPr>
              <w:spacing w:after="0"/>
              <w:rPr>
                <w:sz w:val="15"/>
                <w:szCs w:val="15"/>
                <w:color w:val="auto"/>
              </w:rPr>
            </w:pPr>
          </w:p>
        </w:tc>
        <w:tc>
          <w:tcPr>
            <w:tcW w:w="1100" w:type="dxa"/>
            <w:vAlign w:val="bottom"/>
            <w:shd w:val="clear" w:color="auto" w:fill="F1F2F2"/>
          </w:tcPr>
          <w:p>
            <w:pPr>
              <w:spacing w:after="0"/>
              <w:rPr>
                <w:sz w:val="15"/>
                <w:szCs w:val="15"/>
                <w:color w:val="auto"/>
              </w:rPr>
            </w:pPr>
          </w:p>
        </w:tc>
        <w:tc>
          <w:tcPr>
            <w:tcW w:w="1240" w:type="dxa"/>
            <w:vAlign w:val="bottom"/>
            <w:shd w:val="clear" w:color="auto" w:fill="F1F2F2"/>
          </w:tcPr>
          <w:p>
            <w:pPr>
              <w:spacing w:after="0"/>
              <w:rPr>
                <w:sz w:val="15"/>
                <w:szCs w:val="15"/>
                <w:color w:val="auto"/>
              </w:rPr>
            </w:pPr>
          </w:p>
        </w:tc>
        <w:tc>
          <w:tcPr>
            <w:tcW w:w="940" w:type="dxa"/>
            <w:vAlign w:val="bottom"/>
            <w:shd w:val="clear" w:color="auto" w:fill="F1F2F2"/>
          </w:tcPr>
          <w:p>
            <w:pPr>
              <w:spacing w:after="0"/>
              <w:rPr>
                <w:sz w:val="15"/>
                <w:szCs w:val="15"/>
                <w:color w:val="auto"/>
              </w:rPr>
            </w:pPr>
          </w:p>
        </w:tc>
        <w:tc>
          <w:tcPr>
            <w:tcW w:w="820" w:type="dxa"/>
            <w:vAlign w:val="bottom"/>
            <w:shd w:val="clear" w:color="auto" w:fill="F1F2F2"/>
          </w:tcPr>
          <w:p>
            <w:pPr>
              <w:spacing w:after="0"/>
              <w:rPr>
                <w:sz w:val="15"/>
                <w:szCs w:val="15"/>
                <w:color w:val="auto"/>
              </w:rPr>
            </w:pPr>
          </w:p>
        </w:tc>
        <w:tc>
          <w:tcPr>
            <w:tcW w:w="80" w:type="dxa"/>
            <w:vAlign w:val="bottom"/>
            <w:shd w:val="clear" w:color="auto" w:fill="F1F2F2"/>
          </w:tcPr>
          <w:p>
            <w:pPr>
              <w:spacing w:after="0"/>
              <w:rPr>
                <w:sz w:val="15"/>
                <w:szCs w:val="15"/>
                <w:color w:val="auto"/>
              </w:rPr>
            </w:pPr>
          </w:p>
        </w:tc>
        <w:tc>
          <w:tcPr>
            <w:tcW w:w="940" w:type="dxa"/>
            <w:vAlign w:val="bottom"/>
            <w:shd w:val="clear" w:color="auto" w:fill="F1F2F2"/>
          </w:tcPr>
          <w:p>
            <w:pPr>
              <w:spacing w:after="0"/>
              <w:rPr>
                <w:sz w:val="15"/>
                <w:szCs w:val="15"/>
                <w:color w:val="auto"/>
              </w:rPr>
            </w:pPr>
          </w:p>
        </w:tc>
        <w:tc>
          <w:tcPr>
            <w:tcW w:w="900" w:type="dxa"/>
            <w:vAlign w:val="bottom"/>
            <w:shd w:val="clear" w:color="auto" w:fill="F1F2F2"/>
          </w:tcPr>
          <w:p>
            <w:pPr>
              <w:spacing w:after="0"/>
              <w:rPr>
                <w:sz w:val="15"/>
                <w:szCs w:val="15"/>
                <w:color w:val="auto"/>
              </w:rPr>
            </w:pPr>
          </w:p>
        </w:tc>
        <w:tc>
          <w:tcPr>
            <w:tcW w:w="1200" w:type="dxa"/>
            <w:vAlign w:val="bottom"/>
            <w:shd w:val="clear" w:color="auto" w:fill="F1F2F2"/>
          </w:tcPr>
          <w:p>
            <w:pPr>
              <w:jc w:val="right"/>
              <w:spacing w:after="0" w:line="175" w:lineRule="exact"/>
              <w:rPr>
                <w:sz w:val="20"/>
                <w:szCs w:val="20"/>
                <w:color w:val="auto"/>
              </w:rPr>
            </w:pPr>
            <w:r>
              <w:rPr>
                <w:rFonts w:ascii="Arial" w:cs="Arial" w:eastAsia="Arial" w:hAnsi="Arial"/>
                <w:sz w:val="16"/>
                <w:szCs w:val="16"/>
                <w:b w:val="1"/>
                <w:bCs w:val="1"/>
                <w:color w:val="auto"/>
              </w:rPr>
              <w:t>Equity</w:t>
            </w:r>
          </w:p>
        </w:tc>
        <w:tc>
          <w:tcPr>
            <w:tcW w:w="1340" w:type="dxa"/>
            <w:vAlign w:val="bottom"/>
            <w:shd w:val="clear" w:color="auto" w:fill="F1F2F2"/>
          </w:tcPr>
          <w:p>
            <w:pPr>
              <w:jc w:val="right"/>
              <w:spacing w:after="0" w:line="175" w:lineRule="exact"/>
              <w:rPr>
                <w:sz w:val="20"/>
                <w:szCs w:val="20"/>
                <w:color w:val="auto"/>
              </w:rPr>
            </w:pPr>
            <w:r>
              <w:rPr>
                <w:rFonts w:ascii="Arial" w:cs="Arial" w:eastAsia="Arial" w:hAnsi="Arial"/>
                <w:sz w:val="16"/>
                <w:szCs w:val="16"/>
                <w:b w:val="1"/>
                <w:bCs w:val="1"/>
                <w:color w:val="auto"/>
              </w:rPr>
              <w:t>Equity</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110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82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Incentive</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Incentive</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110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82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900" w:type="dxa"/>
            <w:vAlign w:val="bottom"/>
            <w:shd w:val="clear" w:color="auto" w:fill="F1F2F2"/>
          </w:tcPr>
          <w:p>
            <w:pPr>
              <w:spacing w:after="0"/>
              <w:rPr>
                <w:sz w:val="16"/>
                <w:szCs w:val="16"/>
                <w:color w:val="auto"/>
              </w:rPr>
            </w:pP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Plan Awards:</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Plan Awards:</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1100" w:type="dxa"/>
            <w:vAlign w:val="bottom"/>
            <w:shd w:val="clear" w:color="auto" w:fill="F1F2F2"/>
          </w:tcPr>
          <w:p>
            <w:pPr>
              <w:spacing w:after="0"/>
              <w:rPr>
                <w:sz w:val="16"/>
                <w:szCs w:val="16"/>
                <w:color w:val="auto"/>
              </w:rPr>
            </w:pPr>
          </w:p>
        </w:tc>
        <w:tc>
          <w:tcPr>
            <w:tcW w:w="1240" w:type="dxa"/>
            <w:vAlign w:val="bottom"/>
            <w:shd w:val="clear" w:color="auto" w:fill="F1F2F2"/>
          </w:tcPr>
          <w:p>
            <w:pPr>
              <w:spacing w:after="0"/>
              <w:rPr>
                <w:sz w:val="16"/>
                <w:szCs w:val="16"/>
                <w:color w:val="auto"/>
              </w:rPr>
            </w:pPr>
          </w:p>
        </w:tc>
        <w:tc>
          <w:tcPr>
            <w:tcW w:w="940" w:type="dxa"/>
            <w:vAlign w:val="bottom"/>
            <w:shd w:val="clear" w:color="auto" w:fill="F1F2F2"/>
          </w:tcPr>
          <w:p>
            <w:pPr>
              <w:spacing w:after="0"/>
              <w:rPr>
                <w:sz w:val="16"/>
                <w:szCs w:val="16"/>
                <w:color w:val="auto"/>
              </w:rPr>
            </w:pPr>
          </w:p>
        </w:tc>
        <w:tc>
          <w:tcPr>
            <w:tcW w:w="82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No. of</w:t>
            </w:r>
          </w:p>
        </w:tc>
        <w:tc>
          <w:tcPr>
            <w:tcW w:w="900" w:type="dxa"/>
            <w:vAlign w:val="bottom"/>
            <w:shd w:val="clear" w:color="auto" w:fill="F1F2F2"/>
          </w:tcPr>
          <w:p>
            <w:pPr>
              <w:spacing w:after="0"/>
              <w:rPr>
                <w:sz w:val="16"/>
                <w:szCs w:val="16"/>
                <w:color w:val="auto"/>
              </w:rPr>
            </w:pP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No. of</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Market or</w:t>
            </w:r>
          </w:p>
        </w:tc>
      </w:tr>
      <w:tr>
        <w:trPr>
          <w:trHeight w:val="203"/>
        </w:trPr>
        <w:tc>
          <w:tcPr>
            <w:tcW w:w="1720" w:type="dxa"/>
            <w:vAlign w:val="bottom"/>
            <w:shd w:val="clear" w:color="auto" w:fill="F1F2F2"/>
          </w:tcPr>
          <w:p>
            <w:pPr>
              <w:spacing w:after="0"/>
              <w:rPr>
                <w:sz w:val="17"/>
                <w:szCs w:val="17"/>
                <w:color w:val="auto"/>
              </w:rPr>
            </w:pPr>
          </w:p>
        </w:tc>
        <w:tc>
          <w:tcPr>
            <w:tcW w:w="100" w:type="dxa"/>
            <w:vAlign w:val="bottom"/>
            <w:shd w:val="clear" w:color="auto" w:fill="F1F2F2"/>
          </w:tcPr>
          <w:p>
            <w:pPr>
              <w:spacing w:after="0"/>
              <w:rPr>
                <w:sz w:val="17"/>
                <w:szCs w:val="17"/>
                <w:color w:val="auto"/>
              </w:rPr>
            </w:pPr>
          </w:p>
        </w:tc>
        <w:tc>
          <w:tcPr>
            <w:tcW w:w="860" w:type="dxa"/>
            <w:vAlign w:val="bottom"/>
            <w:shd w:val="clear" w:color="auto" w:fill="F1F2F2"/>
          </w:tcPr>
          <w:p>
            <w:pPr>
              <w:spacing w:after="0"/>
              <w:rPr>
                <w:sz w:val="17"/>
                <w:szCs w:val="17"/>
                <w:color w:val="auto"/>
              </w:rPr>
            </w:pPr>
          </w:p>
        </w:tc>
        <w:tc>
          <w:tcPr>
            <w:tcW w:w="11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No. of</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No. of</w:t>
            </w:r>
          </w:p>
        </w:tc>
        <w:tc>
          <w:tcPr>
            <w:tcW w:w="940" w:type="dxa"/>
            <w:vAlign w:val="bottom"/>
            <w:shd w:val="clear" w:color="auto" w:fill="F1F2F2"/>
          </w:tcPr>
          <w:p>
            <w:pPr>
              <w:spacing w:after="0"/>
              <w:rPr>
                <w:sz w:val="17"/>
                <w:szCs w:val="17"/>
                <w:color w:val="auto"/>
              </w:rPr>
            </w:pPr>
          </w:p>
        </w:tc>
        <w:tc>
          <w:tcPr>
            <w:tcW w:w="820" w:type="dxa"/>
            <w:vAlign w:val="bottom"/>
            <w:shd w:val="clear" w:color="auto" w:fill="F1F2F2"/>
          </w:tcPr>
          <w:p>
            <w:pPr>
              <w:spacing w:after="0"/>
              <w:rPr>
                <w:sz w:val="17"/>
                <w:szCs w:val="17"/>
                <w:color w:val="auto"/>
              </w:rPr>
            </w:pPr>
          </w:p>
        </w:tc>
        <w:tc>
          <w:tcPr>
            <w:tcW w:w="80" w:type="dxa"/>
            <w:vAlign w:val="bottom"/>
            <w:shd w:val="clear" w:color="auto" w:fill="F1F2F2"/>
          </w:tcPr>
          <w:p>
            <w:pPr>
              <w:spacing w:after="0"/>
              <w:rPr>
                <w:sz w:val="17"/>
                <w:szCs w:val="17"/>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Shares</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Market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Unearned</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Payout Value</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11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Securities</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Securities</w:t>
            </w:r>
          </w:p>
        </w:tc>
        <w:tc>
          <w:tcPr>
            <w:tcW w:w="940" w:type="dxa"/>
            <w:vAlign w:val="bottom"/>
            <w:shd w:val="clear" w:color="auto" w:fill="F1F2F2"/>
          </w:tcPr>
          <w:p>
            <w:pPr>
              <w:spacing w:after="0"/>
              <w:rPr>
                <w:sz w:val="16"/>
                <w:szCs w:val="16"/>
                <w:color w:val="auto"/>
              </w:rPr>
            </w:pPr>
          </w:p>
        </w:tc>
        <w:tc>
          <w:tcPr>
            <w:tcW w:w="82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or Units</w:t>
            </w:r>
          </w:p>
        </w:tc>
        <w:tc>
          <w:tcPr>
            <w:tcW w:w="9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Value of</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Shares, Units,</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of Unearned</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11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Underlying</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Underlying</w:t>
            </w:r>
          </w:p>
        </w:tc>
        <w:tc>
          <w:tcPr>
            <w:tcW w:w="940" w:type="dxa"/>
            <w:vAlign w:val="bottom"/>
            <w:shd w:val="clear" w:color="auto" w:fill="F1F2F2"/>
          </w:tcPr>
          <w:p>
            <w:pPr>
              <w:spacing w:after="0"/>
              <w:rPr>
                <w:sz w:val="16"/>
                <w:szCs w:val="16"/>
                <w:color w:val="auto"/>
              </w:rPr>
            </w:pPr>
          </w:p>
        </w:tc>
        <w:tc>
          <w:tcPr>
            <w:tcW w:w="82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of Stock</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Shares or</w:t>
            </w:r>
          </w:p>
        </w:tc>
        <w:tc>
          <w:tcPr>
            <w:tcW w:w="120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or other</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Shares, Units or</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11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Unexercised</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Unexercised</w:t>
            </w:r>
          </w:p>
        </w:tc>
        <w:tc>
          <w:tcPr>
            <w:tcW w:w="9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Option</w:t>
            </w:r>
          </w:p>
        </w:tc>
        <w:tc>
          <w:tcPr>
            <w:tcW w:w="820" w:type="dxa"/>
            <w:vAlign w:val="bottom"/>
            <w:shd w:val="clear" w:color="auto" w:fill="F1F2F2"/>
          </w:tcPr>
          <w:p>
            <w:pPr>
              <w:spacing w:after="0"/>
              <w:rPr>
                <w:sz w:val="16"/>
                <w:szCs w:val="16"/>
                <w:color w:val="auto"/>
              </w:rPr>
            </w:pPr>
          </w:p>
        </w:tc>
        <w:tc>
          <w:tcPr>
            <w:tcW w:w="80" w:type="dxa"/>
            <w:vAlign w:val="bottom"/>
            <w:shd w:val="clear" w:color="auto" w:fill="F1F2F2"/>
          </w:tcPr>
          <w:p>
            <w:pPr>
              <w:spacing w:after="0"/>
              <w:rPr>
                <w:sz w:val="16"/>
                <w:szCs w:val="16"/>
                <w:color w:val="auto"/>
              </w:rPr>
            </w:pP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that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Units that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Rights that</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other Rights</w:t>
            </w:r>
          </w:p>
        </w:tc>
      </w:tr>
      <w:tr>
        <w:trPr>
          <w:trHeight w:val="189"/>
        </w:trPr>
        <w:tc>
          <w:tcPr>
            <w:tcW w:w="1720" w:type="dxa"/>
            <w:vAlign w:val="bottom"/>
            <w:shd w:val="clear" w:color="auto" w:fill="F1F2F2"/>
          </w:tcPr>
          <w:p>
            <w:pPr>
              <w:spacing w:after="0"/>
              <w:rPr>
                <w:sz w:val="16"/>
                <w:szCs w:val="16"/>
                <w:color w:val="auto"/>
              </w:rPr>
            </w:pPr>
          </w:p>
        </w:tc>
        <w:tc>
          <w:tcPr>
            <w:tcW w:w="100" w:type="dxa"/>
            <w:vAlign w:val="bottom"/>
            <w:shd w:val="clear" w:color="auto" w:fill="F1F2F2"/>
          </w:tcPr>
          <w:p>
            <w:pPr>
              <w:spacing w:after="0"/>
              <w:rPr>
                <w:sz w:val="16"/>
                <w:szCs w:val="16"/>
                <w:color w:val="auto"/>
              </w:rPr>
            </w:pPr>
          </w:p>
        </w:tc>
        <w:tc>
          <w:tcPr>
            <w:tcW w:w="860" w:type="dxa"/>
            <w:vAlign w:val="bottom"/>
            <w:shd w:val="clear" w:color="auto" w:fill="F1F2F2"/>
          </w:tcPr>
          <w:p>
            <w:pPr>
              <w:spacing w:after="0"/>
              <w:rPr>
                <w:sz w:val="16"/>
                <w:szCs w:val="16"/>
                <w:color w:val="auto"/>
              </w:rPr>
            </w:pPr>
          </w:p>
        </w:tc>
        <w:tc>
          <w:tcPr>
            <w:tcW w:w="11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Options</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Options</w:t>
            </w:r>
          </w:p>
        </w:tc>
        <w:tc>
          <w:tcPr>
            <w:tcW w:w="9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Exercise</w:t>
            </w:r>
          </w:p>
        </w:tc>
        <w:tc>
          <w:tcPr>
            <w:tcW w:w="900" w:type="dxa"/>
            <w:vAlign w:val="bottom"/>
            <w:gridSpan w:val="2"/>
            <w:shd w:val="clear" w:color="auto" w:fill="F1F2F2"/>
          </w:tcPr>
          <w:p>
            <w:pPr>
              <w:ind w:left="240"/>
              <w:spacing w:after="0"/>
              <w:rPr>
                <w:sz w:val="20"/>
                <w:szCs w:val="20"/>
                <w:color w:val="auto"/>
              </w:rPr>
            </w:pPr>
            <w:r>
              <w:rPr>
                <w:rFonts w:ascii="Arial" w:cs="Arial" w:eastAsia="Arial" w:hAnsi="Arial"/>
                <w:sz w:val="16"/>
                <w:szCs w:val="16"/>
                <w:b w:val="1"/>
                <w:bCs w:val="1"/>
                <w:color w:val="auto"/>
              </w:rPr>
              <w:t>Option</w:t>
            </w: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have not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have not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have not</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that have not</w:t>
            </w:r>
          </w:p>
        </w:tc>
      </w:tr>
      <w:tr>
        <w:trPr>
          <w:trHeight w:val="215"/>
        </w:trPr>
        <w:tc>
          <w:tcPr>
            <w:tcW w:w="1720" w:type="dxa"/>
            <w:vAlign w:val="bottom"/>
            <w:shd w:val="clear" w:color="auto" w:fill="F1F2F2"/>
          </w:tcPr>
          <w:p>
            <w:pPr>
              <w:spacing w:after="0"/>
              <w:rPr>
                <w:sz w:val="18"/>
                <w:szCs w:val="18"/>
                <w:color w:val="auto"/>
              </w:rPr>
            </w:pPr>
          </w:p>
        </w:tc>
        <w:tc>
          <w:tcPr>
            <w:tcW w:w="100" w:type="dxa"/>
            <w:vAlign w:val="bottom"/>
            <w:shd w:val="clear" w:color="auto" w:fill="F1F2F2"/>
          </w:tcPr>
          <w:p>
            <w:pPr>
              <w:spacing w:after="0"/>
              <w:rPr>
                <w:sz w:val="18"/>
                <w:szCs w:val="18"/>
                <w:color w:val="auto"/>
              </w:rPr>
            </w:pPr>
          </w:p>
        </w:tc>
        <w:tc>
          <w:tcPr>
            <w:tcW w:w="8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Grant</w:t>
            </w:r>
          </w:p>
        </w:tc>
        <w:tc>
          <w:tcPr>
            <w:tcW w:w="110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Exercisable</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Unexercisable</w:t>
            </w:r>
          </w:p>
        </w:tc>
        <w:tc>
          <w:tcPr>
            <w:tcW w:w="940" w:type="dxa"/>
            <w:vAlign w:val="bottom"/>
            <w:shd w:val="clear" w:color="auto" w:fill="F1F2F2"/>
          </w:tcPr>
          <w:p>
            <w:pPr>
              <w:jc w:val="right"/>
              <w:ind w:right="119"/>
              <w:spacing w:after="0"/>
              <w:rPr>
                <w:sz w:val="20"/>
                <w:szCs w:val="20"/>
                <w:color w:val="auto"/>
              </w:rPr>
            </w:pPr>
            <w:r>
              <w:rPr>
                <w:rFonts w:ascii="Arial" w:cs="Arial" w:eastAsia="Arial" w:hAnsi="Arial"/>
                <w:sz w:val="16"/>
                <w:szCs w:val="16"/>
                <w:b w:val="1"/>
                <w:bCs w:val="1"/>
                <w:color w:val="auto"/>
              </w:rPr>
              <w:t>Price</w:t>
            </w:r>
          </w:p>
        </w:tc>
        <w:tc>
          <w:tcPr>
            <w:tcW w:w="900" w:type="dxa"/>
            <w:vAlign w:val="bottom"/>
            <w:gridSpan w:val="2"/>
            <w:shd w:val="clear" w:color="auto" w:fill="F1F2F2"/>
          </w:tcPr>
          <w:p>
            <w:pPr>
              <w:jc w:val="right"/>
              <w:ind w:right="80"/>
              <w:spacing w:after="0"/>
              <w:rPr>
                <w:sz w:val="20"/>
                <w:szCs w:val="20"/>
                <w:color w:val="auto"/>
              </w:rPr>
            </w:pPr>
            <w:r>
              <w:rPr>
                <w:rFonts w:ascii="Arial" w:cs="Arial" w:eastAsia="Arial" w:hAnsi="Arial"/>
                <w:sz w:val="16"/>
                <w:szCs w:val="16"/>
                <w:b w:val="1"/>
                <w:bCs w:val="1"/>
                <w:color w:val="auto"/>
              </w:rPr>
              <w:t>Expiration</w:t>
            </w:r>
          </w:p>
        </w:tc>
        <w:tc>
          <w:tcPr>
            <w:tcW w:w="940" w:type="dxa"/>
            <w:vAlign w:val="bottom"/>
            <w:shd w:val="clear" w:color="auto" w:fill="F1F2F2"/>
          </w:tcPr>
          <w:p>
            <w:pPr>
              <w:jc w:val="right"/>
              <w:ind w:right="19"/>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(2)</w:t>
            </w:r>
          </w:p>
        </w:tc>
        <w:tc>
          <w:tcPr>
            <w:tcW w:w="900" w:type="dxa"/>
            <w:vAlign w:val="bottom"/>
            <w:shd w:val="clear" w:color="auto" w:fill="F1F2F2"/>
          </w:tcPr>
          <w:p>
            <w:pPr>
              <w:jc w:val="right"/>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(3)</w:t>
            </w:r>
          </w:p>
        </w:tc>
        <w:tc>
          <w:tcPr>
            <w:tcW w:w="1200" w:type="dxa"/>
            <w:vAlign w:val="bottom"/>
            <w:shd w:val="clear" w:color="auto" w:fill="F1F2F2"/>
          </w:tcPr>
          <w:p>
            <w:pPr>
              <w:jc w:val="right"/>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(4)</w:t>
            </w:r>
          </w:p>
        </w:tc>
        <w:tc>
          <w:tcPr>
            <w:tcW w:w="1340" w:type="dxa"/>
            <w:vAlign w:val="bottom"/>
            <w:shd w:val="clear" w:color="auto" w:fill="F1F2F2"/>
          </w:tcPr>
          <w:p>
            <w:pPr>
              <w:jc w:val="right"/>
              <w:spacing w:after="0" w:line="216" w:lineRule="exact"/>
              <w:rPr>
                <w:sz w:val="20"/>
                <w:szCs w:val="20"/>
                <w:color w:val="auto"/>
              </w:rPr>
            </w:pPr>
            <w:r>
              <w:rPr>
                <w:rFonts w:ascii="Arial" w:cs="Arial" w:eastAsia="Arial" w:hAnsi="Arial"/>
                <w:sz w:val="15"/>
                <w:szCs w:val="15"/>
                <w:b w:val="1"/>
                <w:bCs w:val="1"/>
                <w:color w:val="auto"/>
              </w:rPr>
              <w:t>Vested</w:t>
            </w:r>
            <w:r>
              <w:rPr>
                <w:rFonts w:ascii="Arial" w:cs="Arial" w:eastAsia="Arial" w:hAnsi="Arial"/>
                <w:sz w:val="24"/>
                <w:szCs w:val="24"/>
                <w:b w:val="1"/>
                <w:bCs w:val="1"/>
                <w:color w:val="auto"/>
                <w:vertAlign w:val="superscript"/>
              </w:rPr>
              <w:t>(5)</w:t>
            </w:r>
          </w:p>
        </w:tc>
      </w:tr>
      <w:tr>
        <w:trPr>
          <w:trHeight w:val="203"/>
        </w:trPr>
        <w:tc>
          <w:tcPr>
            <w:tcW w:w="172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w:t>
            </w:r>
          </w:p>
        </w:tc>
        <w:tc>
          <w:tcPr>
            <w:tcW w:w="100" w:type="dxa"/>
            <w:vAlign w:val="bottom"/>
            <w:shd w:val="clear" w:color="auto" w:fill="F1F2F2"/>
          </w:tcPr>
          <w:p>
            <w:pPr>
              <w:spacing w:after="0"/>
              <w:rPr>
                <w:sz w:val="17"/>
                <w:szCs w:val="17"/>
                <w:color w:val="auto"/>
              </w:rPr>
            </w:pPr>
          </w:p>
        </w:tc>
        <w:tc>
          <w:tcPr>
            <w:tcW w:w="86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Date</w:t>
            </w:r>
          </w:p>
        </w:tc>
        <w:tc>
          <w:tcPr>
            <w:tcW w:w="11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w:t>
            </w:r>
          </w:p>
        </w:tc>
        <w:tc>
          <w:tcPr>
            <w:tcW w:w="9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w:t>
            </w:r>
          </w:p>
        </w:tc>
        <w:tc>
          <w:tcPr>
            <w:tcW w:w="900" w:type="dxa"/>
            <w:vAlign w:val="bottom"/>
            <w:gridSpan w:val="2"/>
            <w:shd w:val="clear" w:color="auto" w:fill="F1F2F2"/>
          </w:tcPr>
          <w:p>
            <w:pPr>
              <w:jc w:val="right"/>
              <w:ind w:right="80"/>
              <w:spacing w:after="0"/>
              <w:rPr>
                <w:sz w:val="20"/>
                <w:szCs w:val="20"/>
                <w:color w:val="auto"/>
              </w:rPr>
            </w:pPr>
            <w:r>
              <w:rPr>
                <w:rFonts w:ascii="Arial" w:cs="Arial" w:eastAsia="Arial" w:hAnsi="Arial"/>
                <w:sz w:val="16"/>
                <w:szCs w:val="16"/>
                <w:b w:val="1"/>
                <w:bCs w:val="1"/>
                <w:color w:val="auto"/>
              </w:rPr>
              <w:t>Date</w:t>
            </w:r>
          </w:p>
        </w:tc>
        <w:tc>
          <w:tcPr>
            <w:tcW w:w="940" w:type="dxa"/>
            <w:vAlign w:val="bottom"/>
            <w:shd w:val="clear" w:color="auto" w:fill="F1F2F2"/>
          </w:tcPr>
          <w:p>
            <w:pPr>
              <w:jc w:val="right"/>
              <w:ind w:right="19"/>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r>
      <w:tr>
        <w:trPr>
          <w:trHeight w:val="189"/>
        </w:trPr>
        <w:tc>
          <w:tcPr>
            <w:tcW w:w="1720" w:type="dxa"/>
            <w:vAlign w:val="bottom"/>
          </w:tcPr>
          <w:p>
            <w:pPr>
              <w:ind w:left="60"/>
              <w:spacing w:after="0"/>
              <w:rPr>
                <w:sz w:val="20"/>
                <w:szCs w:val="20"/>
                <w:color w:val="auto"/>
              </w:rPr>
            </w:pPr>
            <w:r>
              <w:rPr>
                <w:rFonts w:ascii="Arial" w:cs="Arial" w:eastAsia="Arial" w:hAnsi="Arial"/>
                <w:sz w:val="16"/>
                <w:szCs w:val="16"/>
                <w:b w:val="1"/>
                <w:bCs w:val="1"/>
                <w:color w:val="auto"/>
              </w:rPr>
              <w:t>KATHERINE A. LANE</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12/14/18</w:t>
            </w:r>
          </w:p>
        </w:tc>
        <w:tc>
          <w:tcPr>
            <w:tcW w:w="1100" w:type="dxa"/>
            <w:vAlign w:val="bottom"/>
          </w:tcPr>
          <w:p>
            <w:pPr>
              <w:jc w:val="right"/>
              <w:spacing w:after="0"/>
              <w:rPr>
                <w:sz w:val="20"/>
                <w:szCs w:val="20"/>
                <w:color w:val="auto"/>
              </w:rPr>
            </w:pPr>
            <w:r>
              <w:rPr>
                <w:rFonts w:ascii="Arial" w:cs="Arial" w:eastAsia="Arial" w:hAnsi="Arial"/>
                <w:sz w:val="16"/>
                <w:szCs w:val="16"/>
                <w:color w:val="auto"/>
              </w:rPr>
              <w:t>2,868</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105.49</w:t>
            </w:r>
          </w:p>
        </w:tc>
        <w:tc>
          <w:tcPr>
            <w:tcW w:w="900" w:type="dxa"/>
            <w:vAlign w:val="bottom"/>
            <w:gridSpan w:val="2"/>
          </w:tcPr>
          <w:p>
            <w:pPr>
              <w:jc w:val="right"/>
              <w:ind w:right="80"/>
              <w:spacing w:after="0"/>
              <w:rPr>
                <w:sz w:val="20"/>
                <w:szCs w:val="20"/>
                <w:color w:val="auto"/>
              </w:rPr>
            </w:pPr>
            <w:r>
              <w:rPr>
                <w:rFonts w:ascii="Arial" w:cs="Arial" w:eastAsia="Arial" w:hAnsi="Arial"/>
                <w:sz w:val="16"/>
                <w:szCs w:val="16"/>
                <w:color w:val="auto"/>
              </w:rPr>
              <w:t>12/14/28</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7/1/19</w:t>
            </w:r>
          </w:p>
        </w:tc>
        <w:tc>
          <w:tcPr>
            <w:tcW w:w="11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8,118</w:t>
            </w:r>
          </w:p>
        </w:tc>
        <w:tc>
          <w:tcPr>
            <w:tcW w:w="1240" w:type="dxa"/>
            <w:vAlign w:val="bottom"/>
            <w:tcBorders>
              <w:top w:val="single" w:sz="8" w:color="BCBEC0"/>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top w:val="single" w:sz="8" w:color="BCBEC0"/>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129.28</w:t>
            </w:r>
          </w:p>
        </w:tc>
        <w:tc>
          <w:tcPr>
            <w:tcW w:w="900" w:type="dxa"/>
            <w:vAlign w:val="bottom"/>
            <w:tcBorders>
              <w:top w:val="single" w:sz="8" w:color="BCBEC0"/>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7/1/29</w:t>
            </w:r>
          </w:p>
        </w:tc>
        <w:tc>
          <w:tcPr>
            <w:tcW w:w="940" w:type="dxa"/>
            <w:vAlign w:val="bottom"/>
            <w:tcBorders>
              <w:top w:val="single" w:sz="8" w:color="BCBEC0"/>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top w:val="single" w:sz="8" w:color="BCBEC0"/>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2/13/20</w:t>
            </w:r>
          </w:p>
        </w:tc>
        <w:tc>
          <w:tcPr>
            <w:tcW w:w="11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7,417</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149.49</w:t>
            </w:r>
          </w:p>
        </w:tc>
        <w:tc>
          <w:tcPr>
            <w:tcW w:w="90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2/13/30</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2/10/21</w:t>
            </w:r>
          </w:p>
        </w:tc>
        <w:tc>
          <w:tcPr>
            <w:tcW w:w="11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6,796</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163.26</w:t>
            </w:r>
          </w:p>
        </w:tc>
        <w:tc>
          <w:tcPr>
            <w:tcW w:w="90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2/10/31</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2/8/22</w:t>
            </w:r>
          </w:p>
        </w:tc>
        <w:tc>
          <w:tcPr>
            <w:tcW w:w="11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5,414</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185.87</w:t>
            </w:r>
          </w:p>
        </w:tc>
        <w:tc>
          <w:tcPr>
            <w:tcW w:w="90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2/8/32</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2/7/23</w:t>
            </w:r>
          </w:p>
        </w:tc>
        <w:tc>
          <w:tcPr>
            <w:tcW w:w="11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2,596</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1,298</w:t>
            </w:r>
          </w:p>
        </w:tc>
        <w:tc>
          <w:tcPr>
            <w:tcW w:w="9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241.17</w:t>
            </w:r>
          </w:p>
        </w:tc>
        <w:tc>
          <w:tcPr>
            <w:tcW w:w="90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2/7/33</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985</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437,448</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1,970</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874,897</w:t>
            </w:r>
          </w:p>
        </w:tc>
      </w:tr>
      <w:tr>
        <w:trPr>
          <w:trHeight w:val="18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2/6/24</w:t>
            </w:r>
          </w:p>
        </w:tc>
        <w:tc>
          <w:tcPr>
            <w:tcW w:w="11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1,041</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2,083</w:t>
            </w:r>
          </w:p>
        </w:tc>
        <w:tc>
          <w:tcPr>
            <w:tcW w:w="9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352.55</w:t>
            </w:r>
          </w:p>
        </w:tc>
        <w:tc>
          <w:tcPr>
            <w:tcW w:w="90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2/6/34</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780</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346,406</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1,560</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692,812</w:t>
            </w:r>
          </w:p>
        </w:tc>
      </w:tr>
      <w:tr>
        <w:trPr>
          <w:trHeight w:val="183"/>
        </w:trPr>
        <w:tc>
          <w:tcPr>
            <w:tcW w:w="1720" w:type="dxa"/>
            <w:vAlign w:val="bottom"/>
            <w:tcBorders>
              <w:bottom w:val="single" w:sz="8" w:color="BCBEC0"/>
            </w:tcBorders>
          </w:tcPr>
          <w:p>
            <w:pPr>
              <w:spacing w:after="0"/>
              <w:rPr>
                <w:sz w:val="15"/>
                <w:szCs w:val="15"/>
                <w:color w:val="auto"/>
              </w:rPr>
            </w:pPr>
          </w:p>
        </w:tc>
        <w:tc>
          <w:tcPr>
            <w:tcW w:w="100" w:type="dxa"/>
            <w:vAlign w:val="bottom"/>
            <w:tcBorders>
              <w:bottom w:val="single" w:sz="8" w:color="BCBEC0"/>
            </w:tcBorders>
          </w:tcPr>
          <w:p>
            <w:pPr>
              <w:spacing w:after="0"/>
              <w:rPr>
                <w:sz w:val="15"/>
                <w:szCs w:val="15"/>
                <w:color w:val="auto"/>
              </w:rPr>
            </w:pPr>
          </w:p>
        </w:tc>
        <w:tc>
          <w:tcPr>
            <w:tcW w:w="8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2/18/25</w:t>
            </w:r>
          </w:p>
        </w:tc>
        <w:tc>
          <w:tcPr>
            <w:tcW w:w="11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2,746</w:t>
            </w:r>
          </w:p>
        </w:tc>
        <w:tc>
          <w:tcPr>
            <w:tcW w:w="9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393.16</w:t>
            </w:r>
          </w:p>
        </w:tc>
        <w:tc>
          <w:tcPr>
            <w:tcW w:w="900" w:type="dxa"/>
            <w:vAlign w:val="bottom"/>
            <w:tcBorders>
              <w:bottom w:val="single" w:sz="8" w:color="BCBEC0"/>
            </w:tcBorders>
            <w:gridSpan w:val="2"/>
          </w:tcPr>
          <w:p>
            <w:pPr>
              <w:jc w:val="right"/>
              <w:ind w:right="80"/>
              <w:spacing w:after="0" w:line="183" w:lineRule="exact"/>
              <w:rPr>
                <w:sz w:val="20"/>
                <w:szCs w:val="20"/>
                <w:color w:val="auto"/>
              </w:rPr>
            </w:pPr>
            <w:r>
              <w:rPr>
                <w:rFonts w:ascii="Arial" w:cs="Arial" w:eastAsia="Arial" w:hAnsi="Arial"/>
                <w:sz w:val="16"/>
                <w:szCs w:val="16"/>
                <w:color w:val="auto"/>
              </w:rPr>
              <w:t>2/18/35</w:t>
            </w:r>
          </w:p>
        </w:tc>
        <w:tc>
          <w:tcPr>
            <w:tcW w:w="940" w:type="dxa"/>
            <w:vAlign w:val="bottom"/>
            <w:tcBorders>
              <w:bottom w:val="single" w:sz="8" w:color="BCBEC0"/>
            </w:tcBorders>
          </w:tcPr>
          <w:p>
            <w:pPr>
              <w:jc w:val="right"/>
              <w:ind w:right="19"/>
              <w:spacing w:after="0" w:line="183" w:lineRule="exact"/>
              <w:rPr>
                <w:sz w:val="20"/>
                <w:szCs w:val="20"/>
                <w:color w:val="auto"/>
              </w:rPr>
            </w:pPr>
            <w:r>
              <w:rPr>
                <w:rFonts w:ascii="Arial" w:cs="Arial" w:eastAsia="Arial" w:hAnsi="Arial"/>
                <w:sz w:val="16"/>
                <w:szCs w:val="16"/>
                <w:color w:val="auto"/>
              </w:rPr>
              <w:t>699</w:t>
            </w:r>
          </w:p>
        </w:tc>
        <w:tc>
          <w:tcPr>
            <w:tcW w:w="9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310,433</w:t>
            </w:r>
          </w:p>
        </w:tc>
        <w:tc>
          <w:tcPr>
            <w:tcW w:w="12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1,399</w:t>
            </w:r>
          </w:p>
        </w:tc>
        <w:tc>
          <w:tcPr>
            <w:tcW w:w="13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621,310</w:t>
            </w:r>
          </w:p>
        </w:tc>
      </w:tr>
    </w:tbl>
    <w:p>
      <w:pPr>
        <w:spacing w:after="0" w:line="47" w:lineRule="exact"/>
        <w:rPr>
          <w:sz w:val="20"/>
          <w:szCs w:val="20"/>
          <w:color w:val="auto"/>
        </w:rPr>
      </w:pPr>
    </w:p>
    <w:p>
      <w:pPr>
        <w:jc w:val="both"/>
        <w:ind w:left="340" w:hanging="332"/>
        <w:spacing w:after="0" w:line="205" w:lineRule="auto"/>
        <w:tabs>
          <w:tab w:leader="none" w:pos="340" w:val="left"/>
        </w:tabs>
        <w:numPr>
          <w:ilvl w:val="0"/>
          <w:numId w:val="7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Option Awards column reflects SARs that were granted to each NEO on the dates shown. SARs entitle the recipient to receive the value in shares of Hubbell common stock equal to the positive difference between the base price and the fair market value of such shares upon exercise. Generally, SARs vest and become exercisable in three equal installments on each of the first three anniversaries of the grant date. See the “Equity Award Plan Vesting Provisions - Grant Terms” section on page 60.</w:t>
      </w:r>
    </w:p>
    <w:p>
      <w:pPr>
        <w:spacing w:after="0" w:line="29"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7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No. of Shares or Units of Stock that have not Vested column reflects restricted stock granted on the following dates: 2/18/25, 2/6/24, 7/6/23, and 2/7/23. RS grants vest on the three-year anniversary of the grant date. See the “Equity Award Plan Vesting Provisions - Grant Terms” section on page 60.</w:t>
      </w:r>
    </w:p>
    <w:p>
      <w:pPr>
        <w:spacing w:after="0" w:line="28"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7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Market Value of Shares or Units that have not Vested is based upon the closing market price of Hubbell common stock on December 31, 2025, the last business day of 2025, of $444.11.</w:t>
      </w:r>
    </w:p>
    <w:p>
      <w:pPr>
        <w:ind w:left="340" w:hanging="332"/>
        <w:spacing w:after="0" w:line="183" w:lineRule="auto"/>
        <w:tabs>
          <w:tab w:leader="none" w:pos="340" w:val="left"/>
        </w:tabs>
        <w:numPr>
          <w:ilvl w:val="0"/>
          <w:numId w:val="75"/>
        </w:numPr>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The Equity Incentive Plan Awards: No. of Unearned Shares, Units, or Other Rights that have not Vested column reflects performance shares granted on the following</w:t>
      </w:r>
    </w:p>
    <w:p>
      <w:pPr>
        <w:jc w:val="both"/>
        <w:ind w:left="340"/>
        <w:spacing w:after="0" w:line="257" w:lineRule="auto"/>
        <w:rPr>
          <w:rFonts w:ascii="Arial" w:cs="Arial" w:eastAsia="Arial" w:hAnsi="Arial"/>
          <w:sz w:val="23"/>
          <w:szCs w:val="23"/>
          <w:i w:val="1"/>
          <w:iCs w:val="1"/>
          <w:color w:val="auto"/>
          <w:vertAlign w:val="superscript"/>
        </w:rPr>
      </w:pPr>
      <w:r>
        <w:rPr>
          <w:rFonts w:ascii="Arial" w:cs="Arial" w:eastAsia="Arial" w:hAnsi="Arial"/>
          <w:sz w:val="14"/>
          <w:szCs w:val="14"/>
          <w:i w:val="1"/>
          <w:iCs w:val="1"/>
          <w:color w:val="auto"/>
        </w:rPr>
        <w:t>dates: 2/7/23, 2/6/24, and 2/18/25. Performance share grants vest based on achievement with respect to three performance measures, as described in the “Performance Share Awards” section on page 50, at the end of a three-year performance period (1/1/23 - 12/31/25, 1/1/24 - 12/31/26, and 1/1/25 – 12/31/27, respectively, for the foregoing grants).</w:t>
      </w:r>
    </w:p>
    <w:p>
      <w:pPr>
        <w:spacing w:after="0" w:line="183" w:lineRule="exact"/>
        <w:rPr>
          <w:rFonts w:ascii="Arial" w:cs="Arial" w:eastAsia="Arial" w:hAnsi="Arial"/>
          <w:sz w:val="23"/>
          <w:szCs w:val="23"/>
          <w:i w:val="1"/>
          <w:iCs w:val="1"/>
          <w:color w:val="auto"/>
          <w:vertAlign w:val="superscript"/>
        </w:rPr>
      </w:pPr>
    </w:p>
    <w:p>
      <w:pPr>
        <w:ind w:left="340" w:right="20" w:hanging="332"/>
        <w:spacing w:after="0" w:line="192" w:lineRule="auto"/>
        <w:tabs>
          <w:tab w:leader="none" w:pos="340" w:val="left"/>
        </w:tabs>
        <w:numPr>
          <w:ilvl w:val="0"/>
          <w:numId w:val="7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Equity Incentive Plan Awards: Market or Payout Value of Unearned Shares, Units or Other Rights that have not Vested column is based upon the closing market price of Hubbell common stock on December 31, 2025, the last business day of 2025, of $444.11.</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Pension Benefits in Fiscal Year 2025</w:t>
      </w:r>
    </w:p>
    <w:p>
      <w:pPr>
        <w:spacing w:after="0" w:line="207" w:lineRule="exact"/>
        <w:rPr>
          <w:sz w:val="20"/>
          <w:szCs w:val="20"/>
          <w:color w:val="auto"/>
        </w:rPr>
      </w:pPr>
    </w:p>
    <w:p>
      <w:pPr>
        <w:ind w:right="240"/>
        <w:spacing w:after="0" w:line="286" w:lineRule="auto"/>
        <w:rPr>
          <w:sz w:val="20"/>
          <w:szCs w:val="20"/>
          <w:color w:val="auto"/>
        </w:rPr>
      </w:pPr>
      <w:r>
        <w:rPr>
          <w:rFonts w:ascii="Arial" w:cs="Arial" w:eastAsia="Arial" w:hAnsi="Arial"/>
          <w:sz w:val="16"/>
          <w:szCs w:val="16"/>
          <w:color w:val="auto"/>
        </w:rPr>
        <w:t>The following table provides information on the retirement benefits for the NEOs who participate in the Company’s DB Plan and DB Restoration Plan. See the “Employee Benefit Programs” section on page 54.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3900" w:type="dxa"/>
            <w:vAlign w:val="bottom"/>
            <w:tcBorders>
              <w:top w:val="single" w:sz="8" w:color="FFE933"/>
            </w:tcBorders>
            <w:shd w:val="clear" w:color="auto" w:fill="F1F2F2"/>
          </w:tcPr>
          <w:p>
            <w:pPr>
              <w:spacing w:after="0"/>
              <w:rPr>
                <w:sz w:val="24"/>
                <w:szCs w:val="24"/>
                <w:color w:val="auto"/>
              </w:rPr>
            </w:pPr>
          </w:p>
        </w:tc>
        <w:tc>
          <w:tcPr>
            <w:tcW w:w="1880" w:type="dxa"/>
            <w:vAlign w:val="bottom"/>
            <w:tcBorders>
              <w:top w:val="single" w:sz="8" w:color="FFE933"/>
            </w:tcBorders>
            <w:shd w:val="clear" w:color="auto" w:fill="F1F2F2"/>
          </w:tcPr>
          <w:p>
            <w:pPr>
              <w:spacing w:after="0"/>
              <w:rPr>
                <w:sz w:val="24"/>
                <w:szCs w:val="24"/>
                <w:color w:val="auto"/>
              </w:rPr>
            </w:pPr>
          </w:p>
        </w:tc>
        <w:tc>
          <w:tcPr>
            <w:tcW w:w="1740" w:type="dxa"/>
            <w:vAlign w:val="bottom"/>
            <w:tcBorders>
              <w:top w:val="single" w:sz="8" w:color="FFE933"/>
            </w:tcBorders>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No. of Years</w:t>
            </w:r>
          </w:p>
        </w:tc>
        <w:tc>
          <w:tcPr>
            <w:tcW w:w="2040" w:type="dxa"/>
            <w:vAlign w:val="bottom"/>
            <w:tcBorders>
              <w:top w:val="single" w:sz="8" w:color="FFE933"/>
            </w:tcBorders>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Present Value of</w:t>
            </w:r>
          </w:p>
        </w:tc>
        <w:tc>
          <w:tcPr>
            <w:tcW w:w="1680" w:type="dxa"/>
            <w:vAlign w:val="bottom"/>
            <w:tcBorders>
              <w:top w:val="single" w:sz="8" w:color="FFE933"/>
            </w:tcBorders>
            <w:shd w:val="clear" w:color="auto" w:fill="F1F2F2"/>
          </w:tcPr>
          <w:p>
            <w:pPr>
              <w:jc w:val="right"/>
              <w:spacing w:after="0"/>
              <w:rPr>
                <w:sz w:val="20"/>
                <w:szCs w:val="20"/>
                <w:color w:val="auto"/>
              </w:rPr>
            </w:pPr>
            <w:r>
              <w:rPr>
                <w:rFonts w:ascii="Arial" w:cs="Arial" w:eastAsia="Arial" w:hAnsi="Arial"/>
                <w:sz w:val="16"/>
                <w:szCs w:val="16"/>
                <w:b w:val="1"/>
                <w:bCs w:val="1"/>
                <w:color w:val="auto"/>
              </w:rPr>
              <w:t>Payments During</w:t>
            </w:r>
          </w:p>
        </w:tc>
      </w:tr>
      <w:tr>
        <w:trPr>
          <w:trHeight w:val="215"/>
        </w:trPr>
        <w:tc>
          <w:tcPr>
            <w:tcW w:w="3900" w:type="dxa"/>
            <w:vAlign w:val="bottom"/>
            <w:shd w:val="clear" w:color="auto" w:fill="F1F2F2"/>
          </w:tcPr>
          <w:p>
            <w:pPr>
              <w:spacing w:after="0"/>
              <w:rPr>
                <w:sz w:val="18"/>
                <w:szCs w:val="18"/>
                <w:color w:val="auto"/>
              </w:rPr>
            </w:pPr>
          </w:p>
        </w:tc>
        <w:tc>
          <w:tcPr>
            <w:tcW w:w="1880" w:type="dxa"/>
            <w:vAlign w:val="bottom"/>
            <w:shd w:val="clear" w:color="auto" w:fill="F1F2F2"/>
          </w:tcPr>
          <w:p>
            <w:pPr>
              <w:spacing w:after="0"/>
              <w:rPr>
                <w:sz w:val="18"/>
                <w:szCs w:val="18"/>
                <w:color w:val="auto"/>
              </w:rPr>
            </w:pPr>
          </w:p>
        </w:tc>
        <w:tc>
          <w:tcPr>
            <w:tcW w:w="17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Credited Service</w:t>
            </w:r>
          </w:p>
        </w:tc>
        <w:tc>
          <w:tcPr>
            <w:tcW w:w="2040" w:type="dxa"/>
            <w:vAlign w:val="bottom"/>
            <w:shd w:val="clear" w:color="auto" w:fill="F1F2F2"/>
          </w:tcPr>
          <w:p>
            <w:pPr>
              <w:jc w:val="right"/>
              <w:ind w:right="80"/>
              <w:spacing w:after="0" w:line="216" w:lineRule="exact"/>
              <w:rPr>
                <w:sz w:val="20"/>
                <w:szCs w:val="20"/>
                <w:color w:val="auto"/>
              </w:rPr>
            </w:pPr>
            <w:r>
              <w:rPr>
                <w:rFonts w:ascii="Arial" w:cs="Arial" w:eastAsia="Arial" w:hAnsi="Arial"/>
                <w:sz w:val="15"/>
                <w:szCs w:val="15"/>
                <w:b w:val="1"/>
                <w:bCs w:val="1"/>
                <w:color w:val="auto"/>
              </w:rPr>
              <w:t>Accumulated Benefit</w:t>
            </w:r>
            <w:r>
              <w:rPr>
                <w:rFonts w:ascii="Arial" w:cs="Arial" w:eastAsia="Arial" w:hAnsi="Arial"/>
                <w:sz w:val="24"/>
                <w:szCs w:val="24"/>
                <w:b w:val="1"/>
                <w:bCs w:val="1"/>
                <w:color w:val="auto"/>
                <w:vertAlign w:val="superscript"/>
              </w:rPr>
              <w:t>(1)</w:t>
            </w:r>
          </w:p>
        </w:tc>
        <w:tc>
          <w:tcPr>
            <w:tcW w:w="16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the Last Fiscal Year</w:t>
            </w:r>
          </w:p>
        </w:tc>
      </w:tr>
      <w:tr>
        <w:trPr>
          <w:trHeight w:val="203"/>
        </w:trPr>
        <w:tc>
          <w:tcPr>
            <w:tcW w:w="390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w:t>
            </w:r>
          </w:p>
        </w:tc>
        <w:tc>
          <w:tcPr>
            <w:tcW w:w="188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Plan Name</w:t>
            </w:r>
          </w:p>
        </w:tc>
        <w:tc>
          <w:tcPr>
            <w:tcW w:w="17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w:t>
            </w:r>
          </w:p>
        </w:tc>
        <w:tc>
          <w:tcPr>
            <w:tcW w:w="2040" w:type="dxa"/>
            <w:vAlign w:val="bottom"/>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w:t>
            </w:r>
          </w:p>
        </w:tc>
        <w:tc>
          <w:tcPr>
            <w:tcW w:w="16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r>
      <w:tr>
        <w:trPr>
          <w:trHeight w:val="189"/>
        </w:trPr>
        <w:tc>
          <w:tcPr>
            <w:tcW w:w="3900" w:type="dxa"/>
            <w:vAlign w:val="bottom"/>
          </w:tcPr>
          <w:p>
            <w:pPr>
              <w:ind w:left="60"/>
              <w:spacing w:after="0"/>
              <w:rPr>
                <w:sz w:val="20"/>
                <w:szCs w:val="20"/>
                <w:color w:val="auto"/>
              </w:rPr>
            </w:pPr>
            <w:r>
              <w:rPr>
                <w:rFonts w:ascii="Arial" w:cs="Arial" w:eastAsia="Arial" w:hAnsi="Arial"/>
                <w:sz w:val="16"/>
                <w:szCs w:val="16"/>
                <w:b w:val="1"/>
                <w:bCs w:val="1"/>
                <w:color w:val="auto"/>
              </w:rPr>
              <w:t>GERBEN W. BAKKER</w:t>
            </w:r>
          </w:p>
        </w:tc>
        <w:tc>
          <w:tcPr>
            <w:tcW w:w="188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DB Plan</w:t>
            </w:r>
          </w:p>
        </w:tc>
        <w:tc>
          <w:tcPr>
            <w:tcW w:w="174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25.92</w:t>
            </w:r>
          </w:p>
        </w:tc>
        <w:tc>
          <w:tcPr>
            <w:tcW w:w="2040" w:type="dxa"/>
            <w:vAlign w:val="bottom"/>
            <w:tcBorders>
              <w:bottom w:val="single" w:sz="8" w:color="BCBEC0"/>
            </w:tcBorders>
          </w:tcPr>
          <w:p>
            <w:pPr>
              <w:jc w:val="right"/>
              <w:ind w:right="40"/>
              <w:spacing w:after="0"/>
              <w:rPr>
                <w:sz w:val="20"/>
                <w:szCs w:val="20"/>
                <w:color w:val="auto"/>
              </w:rPr>
            </w:pPr>
            <w:r>
              <w:rPr>
                <w:rFonts w:ascii="Arial" w:cs="Arial" w:eastAsia="Arial" w:hAnsi="Arial"/>
                <w:sz w:val="16"/>
                <w:szCs w:val="16"/>
                <w:color w:val="auto"/>
              </w:rPr>
              <w:t>933,179</w:t>
            </w:r>
          </w:p>
        </w:tc>
        <w:tc>
          <w:tcPr>
            <w:tcW w:w="16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900" w:type="dxa"/>
            <w:vAlign w:val="bottom"/>
            <w:tcBorders>
              <w:bottom w:val="single" w:sz="8" w:color="BCBEC0"/>
            </w:tcBorders>
          </w:tcPr>
          <w:p>
            <w:pPr>
              <w:spacing w:after="0"/>
              <w:rPr>
                <w:sz w:val="15"/>
                <w:szCs w:val="15"/>
                <w:color w:val="auto"/>
              </w:rPr>
            </w:pPr>
          </w:p>
        </w:tc>
        <w:tc>
          <w:tcPr>
            <w:tcW w:w="18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DB Restoration Plan</w:t>
            </w:r>
          </w:p>
        </w:tc>
        <w:tc>
          <w:tcPr>
            <w:tcW w:w="17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25.92</w:t>
            </w:r>
          </w:p>
        </w:tc>
        <w:tc>
          <w:tcPr>
            <w:tcW w:w="20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3,287,662</w:t>
            </w:r>
          </w:p>
        </w:tc>
        <w:tc>
          <w:tcPr>
            <w:tcW w:w="16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900" w:type="dxa"/>
            <w:vAlign w:val="bottom"/>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18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DB Plan</w:t>
            </w:r>
          </w:p>
        </w:tc>
        <w:tc>
          <w:tcPr>
            <w:tcW w:w="17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27.67</w:t>
            </w:r>
          </w:p>
        </w:tc>
        <w:tc>
          <w:tcPr>
            <w:tcW w:w="20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946,827</w:t>
            </w:r>
          </w:p>
        </w:tc>
        <w:tc>
          <w:tcPr>
            <w:tcW w:w="16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r>
        <w:trPr>
          <w:trHeight w:val="183"/>
        </w:trPr>
        <w:tc>
          <w:tcPr>
            <w:tcW w:w="3900" w:type="dxa"/>
            <w:vAlign w:val="bottom"/>
            <w:tcBorders>
              <w:bottom w:val="single" w:sz="8" w:color="BCBEC0"/>
            </w:tcBorders>
          </w:tcPr>
          <w:p>
            <w:pPr>
              <w:spacing w:after="0"/>
              <w:rPr>
                <w:sz w:val="15"/>
                <w:szCs w:val="15"/>
                <w:color w:val="auto"/>
              </w:rPr>
            </w:pPr>
          </w:p>
        </w:tc>
        <w:tc>
          <w:tcPr>
            <w:tcW w:w="188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DB Restoration Plan</w:t>
            </w:r>
          </w:p>
        </w:tc>
        <w:tc>
          <w:tcPr>
            <w:tcW w:w="17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27.67</w:t>
            </w:r>
          </w:p>
        </w:tc>
        <w:tc>
          <w:tcPr>
            <w:tcW w:w="20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1,201,760</w:t>
            </w:r>
          </w:p>
        </w:tc>
        <w:tc>
          <w:tcPr>
            <w:tcW w:w="16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w:t>
            </w:r>
          </w:p>
        </w:tc>
      </w:tr>
    </w:tbl>
    <w:p>
      <w:pPr>
        <w:spacing w:after="0" w:line="47" w:lineRule="exact"/>
        <w:rPr>
          <w:sz w:val="20"/>
          <w:szCs w:val="20"/>
          <w:color w:val="auto"/>
        </w:rPr>
      </w:pPr>
    </w:p>
    <w:p>
      <w:pPr>
        <w:jc w:val="both"/>
        <w:ind w:left="340" w:hanging="332"/>
        <w:spacing w:after="0"/>
        <w:tabs>
          <w:tab w:leader="none" w:pos="340" w:val="left"/>
        </w:tabs>
        <w:numPr>
          <w:ilvl w:val="0"/>
          <w:numId w:val="76"/>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For the DB Plan and the DB Restoration Plan, the present value of accrued benefits at December 31, 2025, is determined based on the Pri-2012 Healthy Annuitant Mortality Tables, with generational projection from 2012 using Scale MP-2021 and using a discount rate of 5.50%. Participants are assumed to retire at age 62 or current age, if later.</w:t>
      </w:r>
    </w:p>
    <w:p>
      <w:pPr>
        <w:spacing w:after="0" w:line="277" w:lineRule="exact"/>
        <w:rPr>
          <w:sz w:val="20"/>
          <w:szCs w:val="20"/>
          <w:color w:val="auto"/>
        </w:rPr>
      </w:pPr>
    </w:p>
    <w:p>
      <w:pPr>
        <w:spacing w:after="0"/>
        <w:rPr>
          <w:sz w:val="20"/>
          <w:szCs w:val="20"/>
          <w:color w:val="auto"/>
        </w:rPr>
      </w:pPr>
      <w:r>
        <w:rPr>
          <w:rFonts w:ascii="Arial" w:cs="Arial" w:eastAsia="Arial" w:hAnsi="Arial"/>
          <w:sz w:val="25"/>
          <w:szCs w:val="25"/>
          <w:color w:val="auto"/>
        </w:rPr>
        <w:t>Pension Benefit Calculations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paragraphs describe the manner in which benefits are calculated under each of the Company’s retirement plans.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DB Plan and DB Restoration Plan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DB Plan provides for participation by all regular full-time salaried employees (other than employees subject to a collective-bargaining agreement) who were employed by covered Company businesses on December 31, 2003, including Messrs. Bakker and Mikes.</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certain participants hired before January 1, 2004, including Messrs. Bakker and Mikes, the annual benefits under the DB Plan upon normal retirement (age 65) are calculated under the formula shown below. The term “Final Average Pay” refers to the average of the applicable employee’s highest three consecutive years’ earnings (base salary and short-term incentives) in the last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100330</wp:posOffset>
            </wp:positionV>
            <wp:extent cx="6617970" cy="65151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61797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Benefits under the DB Restoration Plan are calculated in the same manner as benefits under the DB Plan, but without regard to any limits on compensation or benefit accruals that may apply under the DB Plan, as required by the tax-qualified plan rules. DB Restoration Plan benefits generally are payable based on a life annuity distribution (although 50% of the benefits are payable to the participant’s surviving spouse if the participant dies after commencing benefits). However, benefits are paid out as a lump sum if an active employee participant as of the date of a change in control experiences a termination of employment within two years following the change in control.</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Beginning in 2017, the DB Plan began a transition to being fully frozen. Years of Service was frozen under the DB Plan and the DB Restoration Plan effective February 28, 2017, and Final Average Pay, Social Security Covered Compensation, and Social Security Benefit was frozen under the DB Plan and the DB Restoration Plan effective December 31, 2020.</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DC Plan and DC Restoration Plan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described under the “Employee Benefit Programs” section on page 54, the DC Plan provides eligible participants with a fixed non-elective contribution of 4% of eligible earnings and a matching contribution equal to 50% of the first 6% of eligible earnings that the employee voluntarily contributes to the DC Plan.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also provides a DC Restoration Plan to allow for excess contributions on behalf of those employees whose contributions are limited under the tax-qualified DC Plan due to compensation limits imposed by the IRS.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DC Restoration Plan provides each participant impacted by those limitations with (i) an annual non-elective contribution equal to the excess of 4% of eligible earnings over the amount credited as a safe harbor non-elective contribution to the DC Plan for that year and (ii) an annual matching contribution equal to 50% of the first 6% of the participant’s eligible earnings that are voluntarily contributed to the DC Plan and/or deferred to the Executive Deferred Compensation Plan less the maximum amount of matching contributions that could have been credited under the DC Plan if the participant had contributed the maximum permissible amount under that plan for the year.</w:t>
      </w:r>
    </w:p>
    <w:p>
      <w:pPr>
        <w:spacing w:after="0" w:line="153"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64</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Non-Qualified Deferred Compensation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 Deferred Compensation Plan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EDCP enables certain designated senior executives (including the NEOs) to defer up to 50% of their annual base salary and up to 100% of their annual short-term incentive compensation. Amounts deferred under the EDCP are nominally invested at the discretion of the participant in the same mutual funds available to all employees in the DC Plan, and all participants are immediately 100% vested in the amounts they elect to defer. The Company is permitted to make discretionary contributions to EDCP participants and to make contributions subject to vesting conditions or other restrictions.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Participants are generally required to make their deferral elections by December 31 of the year prior to the year in which the base pay is paid and the deferred short-term incentive award is earned. When they make deferral elections, participants also elect the future date for distributions. Distributions can be made at any time while the participant remains an employee (but no sooner than two years after the year for which the deferral is made) or upon separation from service or a change in control. Distributions upon separation from service may be made in a lump sum or installments over 5, 10, or 15 years. In-service distributions and distributions upon a change in control are made in a lump sum. Participants may also access their accounts under the EDCP in the event of an unforeseen emergency.</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Non-Qualified Deferred Compensation in Fiscal Year 2025</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the benefits earned by each NEO under the Company’s EDCP and DC Restoration Plan.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500" w:type="dxa"/>
            <w:vAlign w:val="bottom"/>
            <w:tcBorders>
              <w:top w:val="single" w:sz="8" w:color="FFE933"/>
            </w:tcBorders>
            <w:shd w:val="clear" w:color="auto" w:fill="F1F2F2"/>
          </w:tcPr>
          <w:p>
            <w:pPr>
              <w:spacing w:after="0"/>
              <w:rPr>
                <w:sz w:val="23"/>
                <w:szCs w:val="23"/>
                <w:color w:val="auto"/>
              </w:rPr>
            </w:pPr>
          </w:p>
        </w:tc>
        <w:tc>
          <w:tcPr>
            <w:tcW w:w="2140" w:type="dxa"/>
            <w:vAlign w:val="bottom"/>
            <w:tcBorders>
              <w:top w:val="single" w:sz="8" w:color="FFE933"/>
            </w:tcBorders>
            <w:shd w:val="clear" w:color="auto" w:fill="F1F2F2"/>
          </w:tcPr>
          <w:p>
            <w:pPr>
              <w:spacing w:after="0"/>
              <w:rPr>
                <w:sz w:val="23"/>
                <w:szCs w:val="23"/>
                <w:color w:val="auto"/>
              </w:rPr>
            </w:pPr>
          </w:p>
        </w:tc>
        <w:tc>
          <w:tcPr>
            <w:tcW w:w="1520" w:type="dxa"/>
            <w:vAlign w:val="bottom"/>
            <w:tcBorders>
              <w:top w:val="single" w:sz="8" w:color="FFE933"/>
            </w:tcBorders>
            <w:shd w:val="clear" w:color="auto" w:fill="F1F2F2"/>
          </w:tcPr>
          <w:p>
            <w:pPr>
              <w:spacing w:after="0"/>
              <w:rPr>
                <w:sz w:val="23"/>
                <w:szCs w:val="23"/>
                <w:color w:val="auto"/>
              </w:rPr>
            </w:pPr>
          </w:p>
        </w:tc>
        <w:tc>
          <w:tcPr>
            <w:tcW w:w="1440" w:type="dxa"/>
            <w:vAlign w:val="bottom"/>
            <w:tcBorders>
              <w:top w:val="single" w:sz="8" w:color="FFE933"/>
            </w:tcBorders>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DC Restoration</w:t>
            </w:r>
          </w:p>
        </w:tc>
        <w:tc>
          <w:tcPr>
            <w:tcW w:w="1400" w:type="dxa"/>
            <w:vAlign w:val="bottom"/>
            <w:tcBorders>
              <w:top w:val="single" w:sz="8" w:color="FFE933"/>
            </w:tcBorders>
            <w:shd w:val="clear" w:color="auto" w:fill="F1F2F2"/>
          </w:tcPr>
          <w:p>
            <w:pPr>
              <w:jc w:val="right"/>
              <w:ind w:right="20"/>
              <w:spacing w:after="0"/>
              <w:rPr>
                <w:sz w:val="20"/>
                <w:szCs w:val="20"/>
                <w:color w:val="auto"/>
              </w:rPr>
            </w:pPr>
            <w:r>
              <w:rPr>
                <w:rFonts w:ascii="Arial" w:cs="Arial" w:eastAsia="Arial" w:hAnsi="Arial"/>
                <w:sz w:val="16"/>
                <w:szCs w:val="16"/>
                <w:b w:val="1"/>
                <w:bCs w:val="1"/>
                <w:color w:val="auto"/>
              </w:rPr>
              <w:t>DC Restoration</w:t>
            </w:r>
          </w:p>
        </w:tc>
        <w:tc>
          <w:tcPr>
            <w:tcW w:w="1240" w:type="dxa"/>
            <w:vAlign w:val="bottom"/>
            <w:tcBorders>
              <w:top w:val="single" w:sz="8" w:color="FFE933"/>
            </w:tcBorders>
            <w:shd w:val="clear" w:color="auto" w:fill="F1F2F2"/>
          </w:tcPr>
          <w:p>
            <w:pPr>
              <w:spacing w:after="0"/>
              <w:rPr>
                <w:sz w:val="23"/>
                <w:szCs w:val="23"/>
                <w:color w:val="auto"/>
              </w:rPr>
            </w:pPr>
          </w:p>
        </w:tc>
        <w:tc>
          <w:tcPr>
            <w:tcW w:w="1000" w:type="dxa"/>
            <w:vAlign w:val="bottom"/>
            <w:tcBorders>
              <w:top w:val="single" w:sz="8" w:color="FFE933"/>
            </w:tcBorders>
            <w:shd w:val="clear" w:color="auto" w:fill="F1F2F2"/>
          </w:tcPr>
          <w:p>
            <w:pPr>
              <w:spacing w:after="0"/>
              <w:rPr>
                <w:sz w:val="23"/>
                <w:szCs w:val="23"/>
                <w:color w:val="auto"/>
              </w:rPr>
            </w:pPr>
          </w:p>
        </w:tc>
      </w:tr>
      <w:tr>
        <w:trPr>
          <w:trHeight w:val="203"/>
        </w:trPr>
        <w:tc>
          <w:tcPr>
            <w:tcW w:w="2500" w:type="dxa"/>
            <w:vAlign w:val="bottom"/>
            <w:shd w:val="clear" w:color="auto" w:fill="F1F2F2"/>
          </w:tcPr>
          <w:p>
            <w:pPr>
              <w:spacing w:after="0"/>
              <w:rPr>
                <w:sz w:val="17"/>
                <w:szCs w:val="17"/>
                <w:color w:val="auto"/>
              </w:rPr>
            </w:pPr>
          </w:p>
        </w:tc>
        <w:tc>
          <w:tcPr>
            <w:tcW w:w="2140" w:type="dxa"/>
            <w:vAlign w:val="bottom"/>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EDCP Executive</w:t>
            </w:r>
          </w:p>
        </w:tc>
        <w:tc>
          <w:tcPr>
            <w:tcW w:w="1520" w:type="dxa"/>
            <w:vAlign w:val="bottom"/>
            <w:shd w:val="clear" w:color="auto" w:fill="F1F2F2"/>
          </w:tcPr>
          <w:p>
            <w:pPr>
              <w:jc w:val="right"/>
              <w:ind w:right="42"/>
              <w:spacing w:after="0"/>
              <w:rPr>
                <w:sz w:val="20"/>
                <w:szCs w:val="20"/>
                <w:color w:val="auto"/>
              </w:rPr>
            </w:pPr>
            <w:r>
              <w:rPr>
                <w:rFonts w:ascii="Arial" w:cs="Arial" w:eastAsia="Arial" w:hAnsi="Arial"/>
                <w:sz w:val="16"/>
                <w:szCs w:val="16"/>
                <w:b w:val="1"/>
                <w:bCs w:val="1"/>
                <w:color w:val="auto"/>
              </w:rPr>
              <w:t>EDCP Aggregate</w:t>
            </w:r>
          </w:p>
        </w:tc>
        <w:tc>
          <w:tcPr>
            <w:tcW w:w="1440" w:type="dxa"/>
            <w:vAlign w:val="bottom"/>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Plan Registrant</w:t>
            </w:r>
          </w:p>
        </w:tc>
        <w:tc>
          <w:tcPr>
            <w:tcW w:w="1400" w:type="dxa"/>
            <w:vAlign w:val="bottom"/>
            <w:shd w:val="clear" w:color="auto" w:fill="F1F2F2"/>
          </w:tcPr>
          <w:p>
            <w:pPr>
              <w:jc w:val="right"/>
              <w:ind w:right="20"/>
              <w:spacing w:after="0"/>
              <w:rPr>
                <w:sz w:val="20"/>
                <w:szCs w:val="20"/>
                <w:color w:val="auto"/>
              </w:rPr>
            </w:pPr>
            <w:r>
              <w:rPr>
                <w:rFonts w:ascii="Arial" w:cs="Arial" w:eastAsia="Arial" w:hAnsi="Arial"/>
                <w:sz w:val="16"/>
                <w:szCs w:val="16"/>
                <w:b w:val="1"/>
                <w:bCs w:val="1"/>
                <w:color w:val="auto"/>
              </w:rPr>
              <w:t>Plan Aggregate</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Aggregate</w:t>
            </w:r>
          </w:p>
        </w:tc>
        <w:tc>
          <w:tcPr>
            <w:tcW w:w="10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2500" w:type="dxa"/>
            <w:vAlign w:val="bottom"/>
            <w:shd w:val="clear" w:color="auto" w:fill="F1F2F2"/>
          </w:tcPr>
          <w:p>
            <w:pPr>
              <w:spacing w:after="0"/>
              <w:rPr>
                <w:sz w:val="16"/>
                <w:szCs w:val="16"/>
                <w:color w:val="auto"/>
              </w:rPr>
            </w:pPr>
          </w:p>
        </w:tc>
        <w:tc>
          <w:tcPr>
            <w:tcW w:w="2140" w:type="dxa"/>
            <w:vAlign w:val="bottom"/>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Contributions</w:t>
            </w:r>
          </w:p>
        </w:tc>
        <w:tc>
          <w:tcPr>
            <w:tcW w:w="1520" w:type="dxa"/>
            <w:vAlign w:val="bottom"/>
            <w:shd w:val="clear" w:color="auto" w:fill="F1F2F2"/>
          </w:tcPr>
          <w:p>
            <w:pPr>
              <w:jc w:val="right"/>
              <w:ind w:right="42"/>
              <w:spacing w:after="0"/>
              <w:rPr>
                <w:sz w:val="20"/>
                <w:szCs w:val="20"/>
                <w:color w:val="auto"/>
              </w:rPr>
            </w:pPr>
            <w:r>
              <w:rPr>
                <w:rFonts w:ascii="Arial" w:cs="Arial" w:eastAsia="Arial" w:hAnsi="Arial"/>
                <w:sz w:val="16"/>
                <w:szCs w:val="16"/>
                <w:b w:val="1"/>
                <w:bCs w:val="1"/>
                <w:color w:val="auto"/>
              </w:rPr>
              <w:t>Earnings in Last</w:t>
            </w:r>
          </w:p>
        </w:tc>
        <w:tc>
          <w:tcPr>
            <w:tcW w:w="1440" w:type="dxa"/>
            <w:vAlign w:val="bottom"/>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Contributions</w:t>
            </w:r>
          </w:p>
        </w:tc>
        <w:tc>
          <w:tcPr>
            <w:tcW w:w="1400" w:type="dxa"/>
            <w:vAlign w:val="bottom"/>
            <w:shd w:val="clear" w:color="auto" w:fill="F1F2F2"/>
          </w:tcPr>
          <w:p>
            <w:pPr>
              <w:jc w:val="right"/>
              <w:ind w:right="20"/>
              <w:spacing w:after="0"/>
              <w:rPr>
                <w:sz w:val="20"/>
                <w:szCs w:val="20"/>
                <w:color w:val="auto"/>
              </w:rPr>
            </w:pPr>
            <w:r>
              <w:rPr>
                <w:rFonts w:ascii="Arial" w:cs="Arial" w:eastAsia="Arial" w:hAnsi="Arial"/>
                <w:sz w:val="16"/>
                <w:szCs w:val="16"/>
                <w:b w:val="1"/>
                <w:bCs w:val="1"/>
                <w:color w:val="auto"/>
              </w:rPr>
              <w:t>Earnings in</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Withdrawals/</w:t>
            </w:r>
          </w:p>
        </w:tc>
        <w:tc>
          <w:tcPr>
            <w:tcW w:w="10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Balance at</w:t>
            </w:r>
          </w:p>
        </w:tc>
      </w:tr>
      <w:tr>
        <w:trPr>
          <w:trHeight w:val="215"/>
        </w:trPr>
        <w:tc>
          <w:tcPr>
            <w:tcW w:w="2500" w:type="dxa"/>
            <w:vAlign w:val="bottom"/>
            <w:shd w:val="clear" w:color="auto" w:fill="F1F2F2"/>
          </w:tcPr>
          <w:p>
            <w:pPr>
              <w:spacing w:after="0"/>
              <w:rPr>
                <w:sz w:val="18"/>
                <w:szCs w:val="18"/>
                <w:color w:val="auto"/>
              </w:rPr>
            </w:pPr>
          </w:p>
        </w:tc>
        <w:tc>
          <w:tcPr>
            <w:tcW w:w="2140" w:type="dxa"/>
            <w:vAlign w:val="bottom"/>
            <w:shd w:val="clear" w:color="auto" w:fill="F1F2F2"/>
          </w:tcPr>
          <w:p>
            <w:pPr>
              <w:jc w:val="right"/>
              <w:ind w:right="40"/>
              <w:spacing w:after="0" w:line="216" w:lineRule="exact"/>
              <w:rPr>
                <w:sz w:val="20"/>
                <w:szCs w:val="20"/>
                <w:color w:val="auto"/>
              </w:rPr>
            </w:pPr>
            <w:r>
              <w:rPr>
                <w:rFonts w:ascii="Arial" w:cs="Arial" w:eastAsia="Arial" w:hAnsi="Arial"/>
                <w:sz w:val="15"/>
                <w:szCs w:val="15"/>
                <w:b w:val="1"/>
                <w:bCs w:val="1"/>
                <w:color w:val="auto"/>
              </w:rPr>
              <w:t>in 2025</w:t>
            </w:r>
            <w:r>
              <w:rPr>
                <w:rFonts w:ascii="Arial" w:cs="Arial" w:eastAsia="Arial" w:hAnsi="Arial"/>
                <w:sz w:val="24"/>
                <w:szCs w:val="24"/>
                <w:b w:val="1"/>
                <w:bCs w:val="1"/>
                <w:color w:val="auto"/>
                <w:vertAlign w:val="superscript"/>
              </w:rPr>
              <w:t>(1)</w:t>
            </w:r>
          </w:p>
        </w:tc>
        <w:tc>
          <w:tcPr>
            <w:tcW w:w="1520" w:type="dxa"/>
            <w:vAlign w:val="bottom"/>
            <w:shd w:val="clear" w:color="auto" w:fill="F1F2F2"/>
          </w:tcPr>
          <w:p>
            <w:pPr>
              <w:jc w:val="right"/>
              <w:ind w:right="42"/>
              <w:spacing w:after="0" w:line="216" w:lineRule="exact"/>
              <w:rPr>
                <w:sz w:val="20"/>
                <w:szCs w:val="20"/>
                <w:color w:val="auto"/>
              </w:rPr>
            </w:pPr>
            <w:r>
              <w:rPr>
                <w:rFonts w:ascii="Arial" w:cs="Arial" w:eastAsia="Arial" w:hAnsi="Arial"/>
                <w:sz w:val="24"/>
                <w:szCs w:val="24"/>
                <w:b w:val="1"/>
                <w:bCs w:val="1"/>
                <w:color w:val="auto"/>
                <w:vertAlign w:val="subscript"/>
              </w:rPr>
              <w:t>FY</w:t>
            </w:r>
            <w:r>
              <w:rPr>
                <w:rFonts w:ascii="Arial" w:cs="Arial" w:eastAsia="Arial" w:hAnsi="Arial"/>
                <w:sz w:val="11"/>
                <w:szCs w:val="11"/>
                <w:b w:val="1"/>
                <w:bCs w:val="1"/>
                <w:color w:val="auto"/>
              </w:rPr>
              <w:t>(2)</w:t>
            </w:r>
          </w:p>
        </w:tc>
        <w:tc>
          <w:tcPr>
            <w:tcW w:w="1440" w:type="dxa"/>
            <w:vAlign w:val="bottom"/>
            <w:shd w:val="clear" w:color="auto" w:fill="F1F2F2"/>
          </w:tcPr>
          <w:p>
            <w:pPr>
              <w:jc w:val="right"/>
              <w:ind w:right="40"/>
              <w:spacing w:after="0" w:line="216" w:lineRule="exact"/>
              <w:rPr>
                <w:sz w:val="20"/>
                <w:szCs w:val="20"/>
                <w:color w:val="auto"/>
              </w:rPr>
            </w:pPr>
            <w:r>
              <w:rPr>
                <w:rFonts w:ascii="Arial" w:cs="Arial" w:eastAsia="Arial" w:hAnsi="Arial"/>
                <w:sz w:val="15"/>
                <w:szCs w:val="15"/>
                <w:b w:val="1"/>
                <w:bCs w:val="1"/>
                <w:color w:val="auto"/>
              </w:rPr>
              <w:t>in 2025</w:t>
            </w:r>
            <w:r>
              <w:rPr>
                <w:rFonts w:ascii="Arial" w:cs="Arial" w:eastAsia="Arial" w:hAnsi="Arial"/>
                <w:sz w:val="24"/>
                <w:szCs w:val="24"/>
                <w:b w:val="1"/>
                <w:bCs w:val="1"/>
                <w:color w:val="auto"/>
                <w:vertAlign w:val="superscript"/>
              </w:rPr>
              <w:t>(3)</w:t>
            </w:r>
          </w:p>
        </w:tc>
        <w:tc>
          <w:tcPr>
            <w:tcW w:w="1400" w:type="dxa"/>
            <w:vAlign w:val="bottom"/>
            <w:shd w:val="clear" w:color="auto" w:fill="F1F2F2"/>
          </w:tcPr>
          <w:p>
            <w:pPr>
              <w:jc w:val="right"/>
              <w:ind w:right="20"/>
              <w:spacing w:after="0" w:line="216" w:lineRule="exact"/>
              <w:rPr>
                <w:sz w:val="20"/>
                <w:szCs w:val="20"/>
                <w:color w:val="auto"/>
              </w:rPr>
            </w:pPr>
            <w:r>
              <w:rPr>
                <w:rFonts w:ascii="Arial" w:cs="Arial" w:eastAsia="Arial" w:hAnsi="Arial"/>
                <w:sz w:val="15"/>
                <w:szCs w:val="15"/>
                <w:b w:val="1"/>
                <w:bCs w:val="1"/>
                <w:color w:val="auto"/>
              </w:rPr>
              <w:t>Last FY</w:t>
            </w:r>
            <w:r>
              <w:rPr>
                <w:rFonts w:ascii="Arial" w:cs="Arial" w:eastAsia="Arial" w:hAnsi="Arial"/>
                <w:sz w:val="24"/>
                <w:szCs w:val="24"/>
                <w:b w:val="1"/>
                <w:bCs w:val="1"/>
                <w:color w:val="auto"/>
                <w:vertAlign w:val="superscript"/>
              </w:rPr>
              <w:t>(2)</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Distributions</w:t>
            </w:r>
          </w:p>
        </w:tc>
        <w:tc>
          <w:tcPr>
            <w:tcW w:w="1000" w:type="dxa"/>
            <w:vAlign w:val="bottom"/>
            <w:shd w:val="clear" w:color="auto" w:fill="F1F2F2"/>
          </w:tcPr>
          <w:p>
            <w:pPr>
              <w:jc w:val="right"/>
              <w:spacing w:after="0" w:line="216" w:lineRule="exact"/>
              <w:rPr>
                <w:sz w:val="20"/>
                <w:szCs w:val="20"/>
                <w:color w:val="auto"/>
              </w:rPr>
            </w:pPr>
            <w:r>
              <w:rPr>
                <w:rFonts w:ascii="Arial" w:cs="Arial" w:eastAsia="Arial" w:hAnsi="Arial"/>
                <w:sz w:val="15"/>
                <w:szCs w:val="15"/>
                <w:b w:val="1"/>
                <w:bCs w:val="1"/>
                <w:color w:val="auto"/>
              </w:rPr>
              <w:t>12/31/25</w:t>
            </w:r>
            <w:r>
              <w:rPr>
                <w:rFonts w:ascii="Arial" w:cs="Arial" w:eastAsia="Arial" w:hAnsi="Arial"/>
                <w:sz w:val="24"/>
                <w:szCs w:val="24"/>
                <w:b w:val="1"/>
                <w:bCs w:val="1"/>
                <w:color w:val="auto"/>
                <w:vertAlign w:val="superscript"/>
              </w:rPr>
              <w:t>(4)</w:t>
            </w:r>
          </w:p>
        </w:tc>
      </w:tr>
      <w:tr>
        <w:trPr>
          <w:trHeight w:val="203"/>
        </w:trPr>
        <w:tc>
          <w:tcPr>
            <w:tcW w:w="250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w:t>
            </w:r>
          </w:p>
        </w:tc>
        <w:tc>
          <w:tcPr>
            <w:tcW w:w="2140" w:type="dxa"/>
            <w:vAlign w:val="bottom"/>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F1F2F2"/>
          </w:tcPr>
          <w:p>
            <w:pPr>
              <w:jc w:val="right"/>
              <w:ind w:right="42"/>
              <w:spacing w:after="0"/>
              <w:rPr>
                <w:sz w:val="20"/>
                <w:szCs w:val="20"/>
                <w:color w:val="auto"/>
              </w:rPr>
            </w:pPr>
            <w:r>
              <w:rPr>
                <w:rFonts w:ascii="Arial" w:cs="Arial" w:eastAsia="Arial" w:hAnsi="Arial"/>
                <w:sz w:val="16"/>
                <w:szCs w:val="16"/>
                <w:b w:val="1"/>
                <w:bCs w:val="1"/>
                <w:color w:val="auto"/>
              </w:rPr>
              <w:t>($)</w:t>
            </w:r>
          </w:p>
        </w:tc>
        <w:tc>
          <w:tcPr>
            <w:tcW w:w="1440" w:type="dxa"/>
            <w:vAlign w:val="bottom"/>
            <w:shd w:val="clear" w:color="auto" w:fill="F1F2F2"/>
          </w:tcPr>
          <w:p>
            <w:pPr>
              <w:jc w:val="right"/>
              <w:ind w:right="40"/>
              <w:spacing w:after="0"/>
              <w:rPr>
                <w:sz w:val="20"/>
                <w:szCs w:val="20"/>
                <w:color w:val="auto"/>
              </w:rPr>
            </w:pPr>
            <w:r>
              <w:rPr>
                <w:rFonts w:ascii="Arial" w:cs="Arial" w:eastAsia="Arial" w:hAnsi="Arial"/>
                <w:sz w:val="16"/>
                <w:szCs w:val="16"/>
                <w:b w:val="1"/>
                <w:bCs w:val="1"/>
                <w:color w:val="auto"/>
              </w:rPr>
              <w:t>($)</w:t>
            </w:r>
          </w:p>
        </w:tc>
        <w:tc>
          <w:tcPr>
            <w:tcW w:w="1400" w:type="dxa"/>
            <w:vAlign w:val="bottom"/>
            <w:shd w:val="clear" w:color="auto" w:fill="F1F2F2"/>
          </w:tcPr>
          <w:p>
            <w:pPr>
              <w:jc w:val="right"/>
              <w:ind w:right="20"/>
              <w:spacing w:after="0"/>
              <w:rPr>
                <w:sz w:val="20"/>
                <w:szCs w:val="20"/>
                <w:color w:val="auto"/>
              </w:rPr>
            </w:pPr>
            <w:r>
              <w:rPr>
                <w:rFonts w:ascii="Arial" w:cs="Arial" w:eastAsia="Arial" w:hAnsi="Arial"/>
                <w:sz w:val="16"/>
                <w:szCs w:val="16"/>
                <w:b w:val="1"/>
                <w:bCs w:val="1"/>
                <w:color w:val="auto"/>
              </w:rPr>
              <w:t>($)</w:t>
            </w:r>
          </w:p>
        </w:tc>
        <w:tc>
          <w:tcPr>
            <w:tcW w:w="124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w:t>
            </w:r>
          </w:p>
        </w:tc>
        <w:tc>
          <w:tcPr>
            <w:tcW w:w="10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r>
      <w:tr>
        <w:trPr>
          <w:trHeight w:val="189"/>
        </w:trPr>
        <w:tc>
          <w:tcPr>
            <w:tcW w:w="25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GERBEN W. BAKKER</w:t>
            </w:r>
          </w:p>
        </w:tc>
        <w:tc>
          <w:tcPr>
            <w:tcW w:w="2140" w:type="dxa"/>
            <w:vAlign w:val="bottom"/>
            <w:tcBorders>
              <w:bottom w:val="single" w:sz="8" w:color="BCBEC0"/>
            </w:tcBorders>
          </w:tcPr>
          <w:p>
            <w:pPr>
              <w:jc w:val="right"/>
              <w:ind w:right="40"/>
              <w:spacing w:after="0"/>
              <w:rPr>
                <w:sz w:val="20"/>
                <w:szCs w:val="20"/>
                <w:color w:val="auto"/>
              </w:rPr>
            </w:pPr>
            <w:r>
              <w:rPr>
                <w:rFonts w:ascii="Arial" w:cs="Arial" w:eastAsia="Arial" w:hAnsi="Arial"/>
                <w:sz w:val="16"/>
                <w:szCs w:val="16"/>
                <w:color w:val="auto"/>
              </w:rPr>
              <w:t>163,735</w:t>
            </w:r>
          </w:p>
        </w:tc>
        <w:tc>
          <w:tcPr>
            <w:tcW w:w="1520" w:type="dxa"/>
            <w:vAlign w:val="bottom"/>
            <w:tcBorders>
              <w:bottom w:val="single" w:sz="8" w:color="BCBEC0"/>
            </w:tcBorders>
          </w:tcPr>
          <w:p>
            <w:pPr>
              <w:jc w:val="right"/>
              <w:ind w:right="42"/>
              <w:spacing w:after="0"/>
              <w:rPr>
                <w:sz w:val="20"/>
                <w:szCs w:val="20"/>
                <w:color w:val="auto"/>
              </w:rPr>
            </w:pPr>
            <w:r>
              <w:rPr>
                <w:rFonts w:ascii="Arial" w:cs="Arial" w:eastAsia="Arial" w:hAnsi="Arial"/>
                <w:sz w:val="16"/>
                <w:szCs w:val="16"/>
                <w:color w:val="auto"/>
              </w:rPr>
              <w:t>339,896</w:t>
            </w:r>
          </w:p>
        </w:tc>
        <w:tc>
          <w:tcPr>
            <w:tcW w:w="1440" w:type="dxa"/>
            <w:vAlign w:val="bottom"/>
            <w:tcBorders>
              <w:bottom w:val="single" w:sz="8" w:color="BCBEC0"/>
            </w:tcBorders>
          </w:tcPr>
          <w:p>
            <w:pPr>
              <w:jc w:val="right"/>
              <w:ind w:right="40"/>
              <w:spacing w:after="0"/>
              <w:rPr>
                <w:sz w:val="20"/>
                <w:szCs w:val="20"/>
                <w:color w:val="auto"/>
              </w:rPr>
            </w:pPr>
            <w:r>
              <w:rPr>
                <w:rFonts w:ascii="Arial" w:cs="Arial" w:eastAsia="Arial" w:hAnsi="Arial"/>
                <w:sz w:val="16"/>
                <w:szCs w:val="16"/>
                <w:color w:val="auto"/>
              </w:rPr>
              <w:t>225,567</w:t>
            </w:r>
          </w:p>
        </w:tc>
        <w:tc>
          <w:tcPr>
            <w:tcW w:w="1400" w:type="dxa"/>
            <w:vAlign w:val="bottom"/>
            <w:tcBorders>
              <w:bottom w:val="single" w:sz="8" w:color="BCBEC0"/>
            </w:tcBorders>
          </w:tcPr>
          <w:p>
            <w:pPr>
              <w:jc w:val="right"/>
              <w:ind w:right="20"/>
              <w:spacing w:after="0"/>
              <w:rPr>
                <w:sz w:val="20"/>
                <w:szCs w:val="20"/>
                <w:color w:val="auto"/>
              </w:rPr>
            </w:pPr>
            <w:r>
              <w:rPr>
                <w:rFonts w:ascii="Arial" w:cs="Arial" w:eastAsia="Arial" w:hAnsi="Arial"/>
                <w:sz w:val="16"/>
                <w:szCs w:val="16"/>
                <w:color w:val="auto"/>
              </w:rPr>
              <w:t>128,370</w:t>
            </w:r>
          </w:p>
        </w:tc>
        <w:tc>
          <w:tcPr>
            <w:tcW w:w="124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3,091,964</w:t>
            </w:r>
          </w:p>
        </w:tc>
      </w:tr>
      <w:tr>
        <w:trPr>
          <w:trHeight w:val="183"/>
        </w:trPr>
        <w:tc>
          <w:tcPr>
            <w:tcW w:w="25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WILLIAM R. SPERRY</w:t>
            </w:r>
          </w:p>
        </w:tc>
        <w:tc>
          <w:tcPr>
            <w:tcW w:w="21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52,394</w:t>
            </w:r>
          </w:p>
        </w:tc>
        <w:tc>
          <w:tcPr>
            <w:tcW w:w="1520" w:type="dxa"/>
            <w:vAlign w:val="bottom"/>
            <w:tcBorders>
              <w:bottom w:val="single" w:sz="8" w:color="BCBEC0"/>
            </w:tcBorders>
          </w:tcPr>
          <w:p>
            <w:pPr>
              <w:jc w:val="right"/>
              <w:ind w:right="42"/>
              <w:spacing w:after="0" w:line="183" w:lineRule="exact"/>
              <w:rPr>
                <w:sz w:val="20"/>
                <w:szCs w:val="20"/>
                <w:color w:val="auto"/>
              </w:rPr>
            </w:pPr>
            <w:r>
              <w:rPr>
                <w:rFonts w:ascii="Arial" w:cs="Arial" w:eastAsia="Arial" w:hAnsi="Arial"/>
                <w:sz w:val="16"/>
                <w:szCs w:val="16"/>
                <w:color w:val="auto"/>
              </w:rPr>
              <w:t>31,129</w:t>
            </w:r>
          </w:p>
        </w:tc>
        <w:tc>
          <w:tcPr>
            <w:tcW w:w="14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90,648</w:t>
            </w:r>
          </w:p>
        </w:tc>
        <w:tc>
          <w:tcPr>
            <w:tcW w:w="1400" w:type="dxa"/>
            <w:vAlign w:val="bottom"/>
            <w:tcBorders>
              <w:bottom w:val="single" w:sz="8" w:color="BCBEC0"/>
            </w:tcBorders>
          </w:tcPr>
          <w:p>
            <w:pPr>
              <w:jc w:val="right"/>
              <w:ind w:right="20"/>
              <w:spacing w:after="0" w:line="183" w:lineRule="exact"/>
              <w:rPr>
                <w:sz w:val="20"/>
                <w:szCs w:val="20"/>
                <w:color w:val="auto"/>
              </w:rPr>
            </w:pPr>
            <w:r>
              <w:rPr>
                <w:rFonts w:ascii="Arial" w:cs="Arial" w:eastAsia="Arial" w:hAnsi="Arial"/>
                <w:sz w:val="16"/>
                <w:szCs w:val="16"/>
                <w:color w:val="auto"/>
              </w:rPr>
              <w:t>119,543</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(56,434)</w:t>
            </w:r>
          </w:p>
        </w:tc>
        <w:tc>
          <w:tcPr>
            <w:tcW w:w="10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1,401,601</w:t>
            </w:r>
          </w:p>
        </w:tc>
      </w:tr>
      <w:tr>
        <w:trPr>
          <w:trHeight w:val="183"/>
        </w:trPr>
        <w:tc>
          <w:tcPr>
            <w:tcW w:w="25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21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BCBEC0"/>
            </w:tcBorders>
          </w:tcPr>
          <w:p>
            <w:pPr>
              <w:jc w:val="right"/>
              <w:ind w:right="42"/>
              <w:spacing w:after="0" w:line="183" w:lineRule="exact"/>
              <w:rPr>
                <w:sz w:val="20"/>
                <w:szCs w:val="20"/>
                <w:color w:val="auto"/>
              </w:rPr>
            </w:pPr>
            <w:r>
              <w:rPr>
                <w:rFonts w:ascii="Arial" w:cs="Arial" w:eastAsia="Arial" w:hAnsi="Arial"/>
                <w:sz w:val="16"/>
                <w:szCs w:val="16"/>
                <w:color w:val="auto"/>
              </w:rPr>
              <w:t>461,952</w:t>
            </w:r>
          </w:p>
        </w:tc>
        <w:tc>
          <w:tcPr>
            <w:tcW w:w="14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70,083</w:t>
            </w:r>
          </w:p>
        </w:tc>
        <w:tc>
          <w:tcPr>
            <w:tcW w:w="1400" w:type="dxa"/>
            <w:vAlign w:val="bottom"/>
            <w:tcBorders>
              <w:bottom w:val="single" w:sz="8" w:color="BCBEC0"/>
            </w:tcBorders>
          </w:tcPr>
          <w:p>
            <w:pPr>
              <w:jc w:val="right"/>
              <w:ind w:right="20"/>
              <w:spacing w:after="0" w:line="183" w:lineRule="exact"/>
              <w:rPr>
                <w:sz w:val="20"/>
                <w:szCs w:val="20"/>
                <w:color w:val="auto"/>
              </w:rPr>
            </w:pPr>
            <w:r>
              <w:rPr>
                <w:rFonts w:ascii="Arial" w:cs="Arial" w:eastAsia="Arial" w:hAnsi="Arial"/>
                <w:sz w:val="16"/>
                <w:szCs w:val="16"/>
                <w:color w:val="auto"/>
              </w:rPr>
              <w:t>41,796</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4,279,850</w:t>
            </w:r>
          </w:p>
        </w:tc>
      </w:tr>
      <w:tr>
        <w:trPr>
          <w:trHeight w:val="183"/>
        </w:trPr>
        <w:tc>
          <w:tcPr>
            <w:tcW w:w="25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GREGORY A. GUMBS</w:t>
            </w:r>
          </w:p>
        </w:tc>
        <w:tc>
          <w:tcPr>
            <w:tcW w:w="21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46,317</w:t>
            </w:r>
          </w:p>
        </w:tc>
        <w:tc>
          <w:tcPr>
            <w:tcW w:w="1520" w:type="dxa"/>
            <w:vAlign w:val="bottom"/>
            <w:tcBorders>
              <w:bottom w:val="single" w:sz="8" w:color="BCBEC0"/>
            </w:tcBorders>
          </w:tcPr>
          <w:p>
            <w:pPr>
              <w:jc w:val="right"/>
              <w:ind w:right="42"/>
              <w:spacing w:after="0" w:line="183" w:lineRule="exact"/>
              <w:rPr>
                <w:sz w:val="20"/>
                <w:szCs w:val="20"/>
                <w:color w:val="auto"/>
              </w:rPr>
            </w:pPr>
            <w:r>
              <w:rPr>
                <w:rFonts w:ascii="Arial" w:cs="Arial" w:eastAsia="Arial" w:hAnsi="Arial"/>
                <w:sz w:val="16"/>
                <w:szCs w:val="16"/>
                <w:color w:val="auto"/>
              </w:rPr>
              <w:t>6,334</w:t>
            </w:r>
          </w:p>
        </w:tc>
        <w:tc>
          <w:tcPr>
            <w:tcW w:w="14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50,240</w:t>
            </w:r>
          </w:p>
        </w:tc>
        <w:tc>
          <w:tcPr>
            <w:tcW w:w="1400" w:type="dxa"/>
            <w:vAlign w:val="bottom"/>
            <w:tcBorders>
              <w:bottom w:val="single" w:sz="8" w:color="BCBEC0"/>
            </w:tcBorders>
          </w:tcPr>
          <w:p>
            <w:pPr>
              <w:jc w:val="right"/>
              <w:ind w:right="20"/>
              <w:spacing w:after="0" w:line="183" w:lineRule="exact"/>
              <w:rPr>
                <w:sz w:val="20"/>
                <w:szCs w:val="20"/>
                <w:color w:val="auto"/>
              </w:rPr>
            </w:pPr>
            <w:r>
              <w:rPr>
                <w:rFonts w:ascii="Arial" w:cs="Arial" w:eastAsia="Arial" w:hAnsi="Arial"/>
                <w:sz w:val="16"/>
                <w:szCs w:val="16"/>
                <w:color w:val="auto"/>
              </w:rPr>
              <w:t>6,372</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172,578</w:t>
            </w:r>
          </w:p>
        </w:tc>
      </w:tr>
      <w:tr>
        <w:trPr>
          <w:trHeight w:val="183"/>
        </w:trPr>
        <w:tc>
          <w:tcPr>
            <w:tcW w:w="25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KATHERINE A. LANE</w:t>
            </w:r>
          </w:p>
        </w:tc>
        <w:tc>
          <w:tcPr>
            <w:tcW w:w="21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288,117</w:t>
            </w:r>
          </w:p>
        </w:tc>
        <w:tc>
          <w:tcPr>
            <w:tcW w:w="1520" w:type="dxa"/>
            <w:vAlign w:val="bottom"/>
            <w:tcBorders>
              <w:bottom w:val="single" w:sz="8" w:color="BCBEC0"/>
            </w:tcBorders>
          </w:tcPr>
          <w:p>
            <w:pPr>
              <w:jc w:val="right"/>
              <w:ind w:right="42"/>
              <w:spacing w:after="0" w:line="183" w:lineRule="exact"/>
              <w:rPr>
                <w:sz w:val="20"/>
                <w:szCs w:val="20"/>
                <w:color w:val="auto"/>
              </w:rPr>
            </w:pPr>
            <w:r>
              <w:rPr>
                <w:rFonts w:ascii="Arial" w:cs="Arial" w:eastAsia="Arial" w:hAnsi="Arial"/>
                <w:sz w:val="16"/>
                <w:szCs w:val="16"/>
                <w:color w:val="auto"/>
              </w:rPr>
              <w:t>364,214</w:t>
            </w:r>
          </w:p>
        </w:tc>
        <w:tc>
          <w:tcPr>
            <w:tcW w:w="1440" w:type="dxa"/>
            <w:vAlign w:val="bottom"/>
            <w:tcBorders>
              <w:bottom w:val="single" w:sz="8" w:color="BCBEC0"/>
            </w:tcBorders>
          </w:tcPr>
          <w:p>
            <w:pPr>
              <w:jc w:val="right"/>
              <w:ind w:right="40"/>
              <w:spacing w:after="0" w:line="183" w:lineRule="exact"/>
              <w:rPr>
                <w:sz w:val="20"/>
                <w:szCs w:val="20"/>
                <w:color w:val="auto"/>
              </w:rPr>
            </w:pPr>
            <w:r>
              <w:rPr>
                <w:rFonts w:ascii="Arial" w:cs="Arial" w:eastAsia="Arial" w:hAnsi="Arial"/>
                <w:sz w:val="16"/>
                <w:szCs w:val="16"/>
                <w:color w:val="auto"/>
              </w:rPr>
              <w:t>65,619</w:t>
            </w:r>
          </w:p>
        </w:tc>
        <w:tc>
          <w:tcPr>
            <w:tcW w:w="1400" w:type="dxa"/>
            <w:vAlign w:val="bottom"/>
            <w:tcBorders>
              <w:bottom w:val="single" w:sz="8" w:color="BCBEC0"/>
            </w:tcBorders>
          </w:tcPr>
          <w:p>
            <w:pPr>
              <w:jc w:val="right"/>
              <w:ind w:right="20"/>
              <w:spacing w:after="0" w:line="183" w:lineRule="exact"/>
              <w:rPr>
                <w:sz w:val="20"/>
                <w:szCs w:val="20"/>
                <w:color w:val="auto"/>
              </w:rPr>
            </w:pPr>
            <w:r>
              <w:rPr>
                <w:rFonts w:ascii="Arial" w:cs="Arial" w:eastAsia="Arial" w:hAnsi="Arial"/>
                <w:sz w:val="16"/>
                <w:szCs w:val="16"/>
                <w:color w:val="auto"/>
              </w:rPr>
              <w:t>37,391</w:t>
            </w:r>
          </w:p>
        </w:tc>
        <w:tc>
          <w:tcPr>
            <w:tcW w:w="124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2,354,700</w:t>
            </w:r>
          </w:p>
        </w:tc>
      </w:tr>
    </w:tbl>
    <w:p>
      <w:pPr>
        <w:ind w:left="340" w:hanging="332"/>
        <w:spacing w:after="0" w:line="191" w:lineRule="auto"/>
        <w:tabs>
          <w:tab w:leader="none" w:pos="340" w:val="left"/>
        </w:tabs>
        <w:numPr>
          <w:ilvl w:val="0"/>
          <w:numId w:val="7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EDCP Executive Contributions in 2025 column reflect elective deferrals of short-term incentive awards as follows: Mr. Bakker: 6%, Mr. Gumbs:</w:t>
      </w:r>
    </w:p>
    <w:p>
      <w:pPr>
        <w:spacing w:after="0" w:line="1" w:lineRule="exact"/>
        <w:rPr>
          <w:rFonts w:ascii="Arial" w:cs="Arial" w:eastAsia="Arial" w:hAnsi="Arial"/>
          <w:sz w:val="24"/>
          <w:szCs w:val="24"/>
          <w:i w:val="1"/>
          <w:iCs w:val="1"/>
          <w:color w:val="auto"/>
          <w:vertAlign w:val="superscript"/>
        </w:rPr>
      </w:pPr>
    </w:p>
    <w:p>
      <w:pPr>
        <w:jc w:val="both"/>
        <w:ind w:left="340"/>
        <w:spacing w:after="0" w:line="249" w:lineRule="auto"/>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3%, and Ms. Lane: 50%, and elective deferrals of base salary as follows: Mr. Bakker: 6%, Mr. Sperry: 7%, Mr. Gumbs: 5%, and Ms. Lane: 10%. The short-term incentive amounts were earned and deferred for services in 2024 but credited to the EDCP in 2025, which is the time payments under the Incentive Compensation Plan are generally made. The amounts in this column include amounts also included in the Summary Compensation Table for 2025 under the Salary column (for 2025) and the Non-Equity Incentive Compensation Plan column (for 2024).</w:t>
      </w:r>
    </w:p>
    <w:p>
      <w:pPr>
        <w:spacing w:after="0" w:line="21"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7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EDCP Aggregate Earnings in Last FY and DC Restoration Plan Aggregate Earnings in Last FY columns include aggregate notional earnings on the EDCP account balances and the DC Restoration Plan balances in 2025. Amounts deferred under the EDCP and the DC Restoration Plan are credited with earnings on the basis of individual notional investment directions made by each participant.</w:t>
      </w:r>
    </w:p>
    <w:p>
      <w:pPr>
        <w:spacing w:after="0" w:line="29" w:lineRule="exact"/>
        <w:rPr>
          <w:rFonts w:ascii="Arial" w:cs="Arial" w:eastAsia="Arial" w:hAnsi="Arial"/>
          <w:sz w:val="24"/>
          <w:szCs w:val="24"/>
          <w:i w:val="1"/>
          <w:iCs w:val="1"/>
          <w:color w:val="auto"/>
          <w:vertAlign w:val="superscript"/>
        </w:rPr>
      </w:pPr>
    </w:p>
    <w:p>
      <w:pPr>
        <w:jc w:val="both"/>
        <w:ind w:left="340" w:hanging="332"/>
        <w:spacing w:after="0" w:line="213" w:lineRule="auto"/>
        <w:tabs>
          <w:tab w:leader="none" w:pos="340" w:val="left"/>
        </w:tabs>
        <w:numPr>
          <w:ilvl w:val="0"/>
          <w:numId w:val="7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DC Restoration Plan Registrant Contributions in 2025 column reflect each NEO’s credits under the DC Restoration Plan earned for services in 2024 and credited to the DC Restoration Plan in 2025. The amount does not include the following accrued restoration company retirement contributions and restoration match contributions earned in 2025 to be credited in 2026, which amounts are detailed in the footnote and included in the All Other Compensation column of the Summary Compensation Table on page 57 for 2025: Mr. Bakker - $166,525, Mr. Sperry - $76,973, Mr. Mikes - $38,244, Mr. Gumbs - $53,546, and Ms. Lane - $47,822.</w:t>
      </w:r>
    </w:p>
    <w:p>
      <w:pPr>
        <w:ind w:left="340" w:hanging="332"/>
        <w:spacing w:after="0" w:line="187" w:lineRule="auto"/>
        <w:tabs>
          <w:tab w:leader="none" w:pos="340" w:val="left"/>
        </w:tabs>
        <w:numPr>
          <w:ilvl w:val="0"/>
          <w:numId w:val="77"/>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Aggregate Balance at 12/31/25 column reflect each NEO’s balance credited to the EDCP and the DC Restoration Plan.</w:t>
      </w:r>
    </w:p>
    <w:p>
      <w:pPr>
        <w:spacing w:after="0" w:line="157" w:lineRule="exact"/>
        <w:rPr>
          <w:sz w:val="20"/>
          <w:szCs w:val="20"/>
          <w:color w:val="auto"/>
        </w:rPr>
      </w:pPr>
    </w:p>
    <w:p>
      <w:pPr>
        <w:spacing w:after="0" w:line="296" w:lineRule="auto"/>
        <w:rPr>
          <w:sz w:val="20"/>
          <w:szCs w:val="20"/>
          <w:color w:val="auto"/>
        </w:rPr>
      </w:pPr>
      <w:r>
        <w:rPr>
          <w:rFonts w:ascii="Arial" w:cs="Arial" w:eastAsia="Arial" w:hAnsi="Arial"/>
          <w:sz w:val="16"/>
          <w:szCs w:val="16"/>
          <w:b w:val="1"/>
          <w:bCs w:val="1"/>
          <w:color w:val="auto"/>
        </w:rPr>
        <w:t>The material terms of the non-qualified deferred compensation plans are further described under the “Pension Benefit Calculations” section on page 64 and the “Non-Qualified Deferred Compensation” section above.</w:t>
      </w:r>
    </w:p>
    <w:p>
      <w:pPr>
        <w:spacing w:after="0" w:line="113"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Potential Post-Employment Compensation Arrangements</w:t>
      </w:r>
    </w:p>
    <w:p>
      <w:pPr>
        <w:spacing w:after="0" w:line="20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Hubbell does not have employment agreements with any of the NEOs. We offer post-employment compensation and benefits to the NEOs under the Senior Severance Policy (which is available to senior level employees in addition to NEOs), retirement plans, and individual CIC Agreements that provide compensation and benefits only in the event of certain terminations in connection with a change in control (as defined in the CIC Agreements). In addition, NEOs may be entitled to post-termination compensation and benefits under the terms of the Company’s Equity Plan, STI program, and other benefit plans. The section below describes the types of compensation and benefits an NEO is eligible to receive under these plans, policies, and agreements based on five termination scenarios: (i) involuntary termination; (ii) death; (iii) disability; (iv) retirement; and (v) following a change in control and involuntary termination. The NEOs generally will receive only vested amounts under the Company’s plans upon voluntary termination or termination for cause.</w:t>
      </w:r>
    </w:p>
    <w:p>
      <w:pPr>
        <w:spacing w:after="0" w:line="1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Senior Severance Policy</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Senior Severance Policy offers the following benefits to NEOs:</w:t>
      </w:r>
    </w:p>
    <w:p>
      <w:pPr>
        <w:spacing w:after="0" w:line="194" w:lineRule="exact"/>
        <w:rPr>
          <w:sz w:val="20"/>
          <w:szCs w:val="20"/>
          <w:color w:val="auto"/>
        </w:rPr>
      </w:pPr>
    </w:p>
    <w:p>
      <w:pPr>
        <w:ind w:left="180" w:hanging="172"/>
        <w:spacing w:after="0"/>
        <w:tabs>
          <w:tab w:leader="none" w:pos="180" w:val="left"/>
        </w:tabs>
        <w:numPr>
          <w:ilvl w:val="0"/>
          <w:numId w:val="78"/>
        </w:numPr>
        <w:rPr>
          <w:rFonts w:ascii="Arial" w:cs="Arial" w:eastAsia="Arial" w:hAnsi="Arial"/>
          <w:sz w:val="16"/>
          <w:szCs w:val="16"/>
          <w:color w:val="2F8B9E"/>
        </w:rPr>
      </w:pPr>
      <w:r>
        <w:rPr>
          <w:rFonts w:ascii="Arial" w:cs="Arial" w:eastAsia="Arial" w:hAnsi="Arial"/>
          <w:sz w:val="16"/>
          <w:szCs w:val="16"/>
          <w:color w:val="auto"/>
        </w:rPr>
        <w:t>4 weeks base salary continuation for each year of service, with a minimum of 26 weeks and a maximum of 78 weeks.</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78"/>
        </w:numPr>
        <w:rPr>
          <w:rFonts w:ascii="Arial" w:cs="Arial" w:eastAsia="Arial" w:hAnsi="Arial"/>
          <w:sz w:val="16"/>
          <w:szCs w:val="16"/>
          <w:color w:val="2F8B9E"/>
        </w:rPr>
      </w:pPr>
      <w:r>
        <w:rPr>
          <w:rFonts w:ascii="Arial" w:cs="Arial" w:eastAsia="Arial" w:hAnsi="Arial"/>
          <w:sz w:val="16"/>
          <w:szCs w:val="16"/>
          <w:color w:val="auto"/>
        </w:rPr>
        <w:t>Continued medical, dental, and life insurance benefits for the salary continuation period.</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78"/>
        </w:numPr>
        <w:rPr>
          <w:rFonts w:ascii="Arial" w:cs="Arial" w:eastAsia="Arial" w:hAnsi="Arial"/>
          <w:sz w:val="16"/>
          <w:szCs w:val="16"/>
          <w:color w:val="2F8B9E"/>
        </w:rPr>
      </w:pPr>
      <w:r>
        <w:rPr>
          <w:rFonts w:ascii="Arial" w:cs="Arial" w:eastAsia="Arial" w:hAnsi="Arial"/>
          <w:sz w:val="16"/>
          <w:szCs w:val="16"/>
          <w:color w:val="auto"/>
        </w:rPr>
        <w:t>Pro-rated portion of their target short-term incentive award earned through the date of termination.</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78"/>
        </w:numPr>
        <w:rPr>
          <w:rFonts w:ascii="Arial" w:cs="Arial" w:eastAsia="Arial" w:hAnsi="Arial"/>
          <w:sz w:val="16"/>
          <w:szCs w:val="16"/>
          <w:color w:val="2F8B9E"/>
        </w:rPr>
      </w:pPr>
      <w:r>
        <w:rPr>
          <w:rFonts w:ascii="Arial" w:cs="Arial" w:eastAsia="Arial" w:hAnsi="Arial"/>
          <w:sz w:val="16"/>
          <w:szCs w:val="16"/>
          <w:color w:val="auto"/>
        </w:rPr>
        <w:t>Outplacement services for up to 12 months.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Involuntary termination includes, for purposes of the Senior Severance Policy, a termination by the Company without cause and a resignation by the NEO due to a material change in the NEO’s authority, duties, responsibilities, or base compensation, or a significant change in the NEO’s employment location. In the event of a change in control followed by an involuntary termination, in lieu of any benefits under the Senior Severance Policy, an NEO would be eligible for severance benefits pursuant to the terms of his or her CIC Agreement.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Equity Plan</w:t>
      </w:r>
    </w:p>
    <w:p>
      <w:pPr>
        <w:spacing w:after="0" w:line="19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NEOs received grants under the Equity Plan in 2025. The treatment of outstanding equity awards upon involuntary termination (i.e., termination by the Company without cause), retirement, and death and disability is set forth in the Post-Employment and Change in Control Payment table on pages 69-70.</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Upon a change in control (as defined in the Equity Plan), outstanding awards under the Equity Plan do not automatically vest and become payable. Instead, awards that are not assumed by the acquiring company may vest in the discretion of the Compensation Committee.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w:t>
      </w:r>
      <w:r>
        <w:rPr>
          <w:rFonts w:ascii="Arial" w:cs="Arial" w:eastAsia="Arial" w:hAnsi="Arial"/>
          <w:sz w:val="18"/>
          <w:szCs w:val="18"/>
          <w:color w:val="auto"/>
        </w:rPr>
        <w:t>-</w:t>
      </w:r>
      <w:r>
        <w:rPr>
          <w:rFonts w:ascii="Arial" w:cs="Arial" w:eastAsia="Arial" w:hAnsi="Arial"/>
          <w:sz w:val="18"/>
          <w:szCs w:val="18"/>
          <w:b w:val="1"/>
          <w:bCs w:val="1"/>
          <w:color w:val="auto"/>
        </w:rPr>
        <w:t>Termination Vesting Terms for Equity Plan Grants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vesting provisions of equity awards termination under the scenarios shown.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800" w:type="dxa"/>
            <w:vAlign w:val="bottom"/>
            <w:tcBorders>
              <w:top w:val="single" w:sz="8" w:color="FFE933"/>
            </w:tcBorders>
            <w:shd w:val="clear" w:color="auto" w:fill="F1F2F2"/>
          </w:tcPr>
          <w:p>
            <w:pPr>
              <w:ind w:left="60"/>
              <w:spacing w:after="0"/>
              <w:rPr>
                <w:sz w:val="20"/>
                <w:szCs w:val="20"/>
                <w:color w:val="auto"/>
              </w:rPr>
            </w:pPr>
            <w:r>
              <w:rPr>
                <w:rFonts w:ascii="Arial" w:cs="Arial" w:eastAsia="Arial" w:hAnsi="Arial"/>
                <w:sz w:val="16"/>
                <w:szCs w:val="16"/>
                <w:b w:val="1"/>
                <w:bCs w:val="1"/>
                <w:color w:val="auto"/>
              </w:rPr>
              <w:t>Award Type</w:t>
            </w:r>
          </w:p>
        </w:tc>
        <w:tc>
          <w:tcPr>
            <w:tcW w:w="3240" w:type="dxa"/>
            <w:vAlign w:val="bottom"/>
            <w:tcBorders>
              <w:top w:val="single" w:sz="8" w:color="FFE933"/>
            </w:tcBorders>
            <w:shd w:val="clear" w:color="auto" w:fill="F1F2F2"/>
          </w:tcPr>
          <w:p>
            <w:pPr>
              <w:ind w:left="240"/>
              <w:spacing w:after="0"/>
              <w:rPr>
                <w:sz w:val="20"/>
                <w:szCs w:val="20"/>
                <w:color w:val="auto"/>
              </w:rPr>
            </w:pPr>
            <w:r>
              <w:rPr>
                <w:rFonts w:ascii="Arial" w:cs="Arial" w:eastAsia="Arial" w:hAnsi="Arial"/>
                <w:sz w:val="16"/>
                <w:szCs w:val="16"/>
                <w:b w:val="1"/>
                <w:bCs w:val="1"/>
                <w:color w:val="auto"/>
              </w:rPr>
              <w:t>Involuntary Termination</w:t>
            </w:r>
          </w:p>
        </w:tc>
        <w:tc>
          <w:tcPr>
            <w:tcW w:w="3140" w:type="dxa"/>
            <w:vAlign w:val="bottom"/>
            <w:tcBorders>
              <w:top w:val="single" w:sz="8" w:color="FFE933"/>
            </w:tcBorders>
            <w:shd w:val="clear" w:color="auto" w:fill="F1F2F2"/>
          </w:tcPr>
          <w:p>
            <w:pPr>
              <w:ind w:left="160"/>
              <w:spacing w:after="0"/>
              <w:rPr>
                <w:sz w:val="20"/>
                <w:szCs w:val="20"/>
                <w:color w:val="auto"/>
              </w:rPr>
            </w:pPr>
            <w:r>
              <w:rPr>
                <w:rFonts w:ascii="Arial" w:cs="Arial" w:eastAsia="Arial" w:hAnsi="Arial"/>
                <w:sz w:val="16"/>
                <w:szCs w:val="16"/>
                <w:b w:val="1"/>
                <w:bCs w:val="1"/>
                <w:color w:val="auto"/>
              </w:rPr>
              <w:t>Retirement</w:t>
            </w:r>
            <w:r>
              <w:rPr>
                <w:rFonts w:ascii="Arial" w:cs="Arial" w:eastAsia="Arial" w:hAnsi="Arial"/>
                <w:sz w:val="26"/>
                <w:szCs w:val="26"/>
                <w:b w:val="1"/>
                <w:bCs w:val="1"/>
                <w:color w:val="auto"/>
                <w:vertAlign w:val="superscript"/>
              </w:rPr>
              <w:t>(1)</w:t>
            </w:r>
          </w:p>
        </w:tc>
        <w:tc>
          <w:tcPr>
            <w:tcW w:w="3060" w:type="dxa"/>
            <w:vAlign w:val="bottom"/>
            <w:tcBorders>
              <w:top w:val="single" w:sz="8" w:color="FFE933"/>
            </w:tcBorders>
            <w:shd w:val="clear" w:color="auto" w:fill="F1F2F2"/>
          </w:tcPr>
          <w:p>
            <w:pPr>
              <w:ind w:left="140"/>
              <w:spacing w:after="0"/>
              <w:rPr>
                <w:sz w:val="20"/>
                <w:szCs w:val="20"/>
                <w:color w:val="auto"/>
              </w:rPr>
            </w:pPr>
            <w:r>
              <w:rPr>
                <w:rFonts w:ascii="Arial" w:cs="Arial" w:eastAsia="Arial" w:hAnsi="Arial"/>
                <w:sz w:val="16"/>
                <w:szCs w:val="16"/>
                <w:b w:val="1"/>
                <w:bCs w:val="1"/>
                <w:color w:val="auto"/>
              </w:rPr>
              <w:t>Death/Disability</w:t>
            </w:r>
          </w:p>
        </w:tc>
      </w:tr>
      <w:tr>
        <w:trPr>
          <w:trHeight w:val="175"/>
        </w:trPr>
        <w:tc>
          <w:tcPr>
            <w:tcW w:w="1800" w:type="dxa"/>
            <w:vAlign w:val="bottom"/>
          </w:tcPr>
          <w:p>
            <w:pPr>
              <w:ind w:left="60"/>
              <w:spacing w:after="0" w:line="175" w:lineRule="exact"/>
              <w:rPr>
                <w:sz w:val="20"/>
                <w:szCs w:val="20"/>
                <w:color w:val="auto"/>
              </w:rPr>
            </w:pPr>
            <w:r>
              <w:rPr>
                <w:rFonts w:ascii="Arial" w:cs="Arial" w:eastAsia="Arial" w:hAnsi="Arial"/>
                <w:sz w:val="16"/>
                <w:szCs w:val="16"/>
                <w:color w:val="auto"/>
              </w:rPr>
              <w:t>Performance Shares</w:t>
            </w:r>
          </w:p>
        </w:tc>
        <w:tc>
          <w:tcPr>
            <w:tcW w:w="3240" w:type="dxa"/>
            <w:vAlign w:val="bottom"/>
          </w:tcPr>
          <w:p>
            <w:pPr>
              <w:ind w:left="240"/>
              <w:spacing w:after="0" w:line="175" w:lineRule="exact"/>
              <w:rPr>
                <w:sz w:val="20"/>
                <w:szCs w:val="20"/>
                <w:color w:val="auto"/>
              </w:rPr>
            </w:pPr>
            <w:r>
              <w:rPr>
                <w:rFonts w:ascii="Arial" w:cs="Arial" w:eastAsia="Arial" w:hAnsi="Arial"/>
                <w:sz w:val="16"/>
                <w:szCs w:val="16"/>
                <w:color w:val="auto"/>
              </w:rPr>
              <w:t>Unvested shares forfeited</w:t>
            </w:r>
          </w:p>
        </w:tc>
        <w:tc>
          <w:tcPr>
            <w:tcW w:w="3140" w:type="dxa"/>
            <w:vAlign w:val="bottom"/>
          </w:tcPr>
          <w:p>
            <w:pPr>
              <w:ind w:left="160"/>
              <w:spacing w:after="0" w:line="175" w:lineRule="exact"/>
              <w:rPr>
                <w:sz w:val="20"/>
                <w:szCs w:val="20"/>
                <w:color w:val="auto"/>
              </w:rPr>
            </w:pPr>
            <w:r>
              <w:rPr>
                <w:rFonts w:ascii="Arial" w:cs="Arial" w:eastAsia="Arial" w:hAnsi="Arial"/>
                <w:sz w:val="16"/>
                <w:szCs w:val="16"/>
                <w:color w:val="auto"/>
              </w:rPr>
              <w:t>Eligible for a pro-rata portion of shares</w:t>
            </w:r>
          </w:p>
        </w:tc>
        <w:tc>
          <w:tcPr>
            <w:tcW w:w="3060" w:type="dxa"/>
            <w:vAlign w:val="bottom"/>
          </w:tcPr>
          <w:p>
            <w:pPr>
              <w:ind w:left="140"/>
              <w:spacing w:after="0" w:line="175" w:lineRule="exact"/>
              <w:rPr>
                <w:sz w:val="20"/>
                <w:szCs w:val="20"/>
                <w:color w:val="auto"/>
              </w:rPr>
            </w:pPr>
            <w:r>
              <w:rPr>
                <w:rFonts w:ascii="Arial" w:cs="Arial" w:eastAsia="Arial" w:hAnsi="Arial"/>
                <w:sz w:val="16"/>
                <w:szCs w:val="16"/>
                <w:color w:val="auto"/>
              </w:rPr>
              <w:t>Target number of shares fully vest</w:t>
            </w:r>
          </w:p>
        </w:tc>
      </w:tr>
      <w:tr>
        <w:trPr>
          <w:trHeight w:val="189"/>
        </w:trPr>
        <w:tc>
          <w:tcPr>
            <w:tcW w:w="1800" w:type="dxa"/>
            <w:vAlign w:val="bottom"/>
          </w:tcPr>
          <w:p>
            <w:pPr>
              <w:ind w:left="60"/>
              <w:spacing w:after="0"/>
              <w:rPr>
                <w:sz w:val="20"/>
                <w:szCs w:val="20"/>
                <w:color w:val="auto"/>
              </w:rPr>
            </w:pPr>
            <w:r>
              <w:rPr>
                <w:rFonts w:ascii="Arial" w:cs="Arial" w:eastAsia="Arial" w:hAnsi="Arial"/>
                <w:sz w:val="16"/>
                <w:szCs w:val="16"/>
                <w:color w:val="auto"/>
              </w:rPr>
              <w:t>(PS)</w:t>
            </w:r>
          </w:p>
        </w:tc>
        <w:tc>
          <w:tcPr>
            <w:tcW w:w="324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(to the extent earned) based on the</w:t>
            </w:r>
          </w:p>
        </w:tc>
        <w:tc>
          <w:tcPr>
            <w:tcW w:w="3060" w:type="dxa"/>
            <w:vAlign w:val="bottom"/>
          </w:tcPr>
          <w:p>
            <w:pPr>
              <w:spacing w:after="0"/>
              <w:rPr>
                <w:sz w:val="16"/>
                <w:szCs w:val="16"/>
                <w:color w:val="auto"/>
              </w:rPr>
            </w:pPr>
          </w:p>
        </w:tc>
      </w:tr>
      <w:tr>
        <w:trPr>
          <w:trHeight w:val="189"/>
        </w:trPr>
        <w:tc>
          <w:tcPr>
            <w:tcW w:w="18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40" w:type="dxa"/>
            <w:vAlign w:val="bottom"/>
          </w:tcPr>
          <w:p>
            <w:pPr>
              <w:ind w:left="160"/>
              <w:spacing w:after="0"/>
              <w:rPr>
                <w:sz w:val="20"/>
                <w:szCs w:val="20"/>
                <w:color w:val="auto"/>
              </w:rPr>
            </w:pPr>
            <w:r>
              <w:rPr>
                <w:rFonts w:ascii="Arial" w:cs="Arial" w:eastAsia="Arial" w:hAnsi="Arial"/>
                <w:sz w:val="16"/>
                <w:szCs w:val="16"/>
                <w:color w:val="auto"/>
              </w:rPr>
              <w:t>number of months the NEO served</w:t>
            </w:r>
          </w:p>
        </w:tc>
        <w:tc>
          <w:tcPr>
            <w:tcW w:w="3060" w:type="dxa"/>
            <w:vAlign w:val="bottom"/>
          </w:tcPr>
          <w:p>
            <w:pPr>
              <w:spacing w:after="0"/>
              <w:rPr>
                <w:sz w:val="16"/>
                <w:szCs w:val="16"/>
                <w:color w:val="auto"/>
              </w:rPr>
            </w:pPr>
          </w:p>
        </w:tc>
      </w:tr>
      <w:tr>
        <w:trPr>
          <w:trHeight w:val="216"/>
        </w:trPr>
        <w:tc>
          <w:tcPr>
            <w:tcW w:w="1800" w:type="dxa"/>
            <w:vAlign w:val="bottom"/>
            <w:tcBorders>
              <w:bottom w:val="single" w:sz="8" w:color="BCBEC0"/>
            </w:tcBorders>
          </w:tcPr>
          <w:p>
            <w:pPr>
              <w:spacing w:after="0"/>
              <w:rPr>
                <w:sz w:val="18"/>
                <w:szCs w:val="18"/>
                <w:color w:val="auto"/>
              </w:rPr>
            </w:pPr>
          </w:p>
        </w:tc>
        <w:tc>
          <w:tcPr>
            <w:tcW w:w="3240" w:type="dxa"/>
            <w:vAlign w:val="bottom"/>
            <w:tcBorders>
              <w:bottom w:val="single" w:sz="8" w:color="BCBEC0"/>
            </w:tcBorders>
          </w:tcPr>
          <w:p>
            <w:pPr>
              <w:spacing w:after="0"/>
              <w:rPr>
                <w:sz w:val="18"/>
                <w:szCs w:val="18"/>
                <w:color w:val="auto"/>
              </w:rPr>
            </w:pPr>
          </w:p>
        </w:tc>
        <w:tc>
          <w:tcPr>
            <w:tcW w:w="314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during the performance period.</w:t>
            </w:r>
          </w:p>
        </w:tc>
        <w:tc>
          <w:tcPr>
            <w:tcW w:w="3060" w:type="dxa"/>
            <w:vAlign w:val="bottom"/>
            <w:tcBorders>
              <w:bottom w:val="single" w:sz="8" w:color="BCBEC0"/>
            </w:tcBorders>
          </w:tcPr>
          <w:p>
            <w:pPr>
              <w:spacing w:after="0"/>
              <w:rPr>
                <w:sz w:val="18"/>
                <w:szCs w:val="18"/>
                <w:color w:val="auto"/>
              </w:rPr>
            </w:pPr>
          </w:p>
        </w:tc>
      </w:tr>
      <w:tr>
        <w:trPr>
          <w:trHeight w:val="197"/>
        </w:trPr>
        <w:tc>
          <w:tcPr>
            <w:tcW w:w="180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RS (time-based)</w:t>
            </w:r>
          </w:p>
        </w:tc>
        <w:tc>
          <w:tcPr>
            <w:tcW w:w="3240" w:type="dxa"/>
            <w:vAlign w:val="bottom"/>
            <w:tcBorders>
              <w:bottom w:val="single" w:sz="8" w:color="BCBEC0"/>
            </w:tcBorders>
          </w:tcPr>
          <w:p>
            <w:pPr>
              <w:ind w:left="240"/>
              <w:spacing w:after="0"/>
              <w:rPr>
                <w:sz w:val="20"/>
                <w:szCs w:val="20"/>
                <w:color w:val="auto"/>
              </w:rPr>
            </w:pPr>
            <w:r>
              <w:rPr>
                <w:rFonts w:ascii="Arial" w:cs="Arial" w:eastAsia="Arial" w:hAnsi="Arial"/>
                <w:sz w:val="16"/>
                <w:szCs w:val="16"/>
                <w:color w:val="auto"/>
              </w:rPr>
              <w:t>Unvested shares forfeited</w:t>
            </w:r>
          </w:p>
        </w:tc>
        <w:tc>
          <w:tcPr>
            <w:tcW w:w="314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Unvested shares fully vest</w:t>
            </w:r>
          </w:p>
        </w:tc>
        <w:tc>
          <w:tcPr>
            <w:tcW w:w="3060" w:type="dxa"/>
            <w:vAlign w:val="bottom"/>
            <w:tcBorders>
              <w:bottom w:val="single" w:sz="8" w:color="BCBEC0"/>
            </w:tcBorders>
          </w:tcPr>
          <w:p>
            <w:pPr>
              <w:ind w:left="140"/>
              <w:spacing w:after="0"/>
              <w:rPr>
                <w:sz w:val="20"/>
                <w:szCs w:val="20"/>
                <w:color w:val="auto"/>
              </w:rPr>
            </w:pPr>
            <w:r>
              <w:rPr>
                <w:rFonts w:ascii="Arial" w:cs="Arial" w:eastAsia="Arial" w:hAnsi="Arial"/>
                <w:sz w:val="16"/>
                <w:szCs w:val="16"/>
                <w:color w:val="auto"/>
              </w:rPr>
              <w:t>Unvested shares fully vest</w:t>
            </w:r>
          </w:p>
        </w:tc>
      </w:tr>
      <w:tr>
        <w:trPr>
          <w:trHeight w:val="168"/>
        </w:trPr>
        <w:tc>
          <w:tcPr>
            <w:tcW w:w="1800" w:type="dxa"/>
            <w:vAlign w:val="bottom"/>
          </w:tcPr>
          <w:p>
            <w:pPr>
              <w:ind w:left="60"/>
              <w:spacing w:after="0" w:line="168" w:lineRule="exact"/>
              <w:rPr>
                <w:sz w:val="20"/>
                <w:szCs w:val="20"/>
                <w:color w:val="auto"/>
              </w:rPr>
            </w:pPr>
            <w:r>
              <w:rPr>
                <w:rFonts w:ascii="Arial" w:cs="Arial" w:eastAsia="Arial" w:hAnsi="Arial"/>
                <w:sz w:val="16"/>
                <w:szCs w:val="16"/>
                <w:color w:val="auto"/>
              </w:rPr>
              <w:t>SARs</w:t>
            </w:r>
          </w:p>
        </w:tc>
        <w:tc>
          <w:tcPr>
            <w:tcW w:w="3240" w:type="dxa"/>
            <w:vAlign w:val="bottom"/>
          </w:tcPr>
          <w:p>
            <w:pPr>
              <w:ind w:left="240"/>
              <w:spacing w:after="0" w:line="168" w:lineRule="exact"/>
              <w:rPr>
                <w:sz w:val="20"/>
                <w:szCs w:val="20"/>
                <w:color w:val="auto"/>
              </w:rPr>
            </w:pPr>
            <w:r>
              <w:rPr>
                <w:rFonts w:ascii="Arial" w:cs="Arial" w:eastAsia="Arial" w:hAnsi="Arial"/>
                <w:sz w:val="16"/>
                <w:szCs w:val="16"/>
                <w:color w:val="auto"/>
              </w:rPr>
              <w:t>Unvested SARs forfeited. May exercise</w:t>
            </w:r>
          </w:p>
        </w:tc>
        <w:tc>
          <w:tcPr>
            <w:tcW w:w="3140" w:type="dxa"/>
            <w:vAlign w:val="bottom"/>
          </w:tcPr>
          <w:p>
            <w:pPr>
              <w:ind w:left="160"/>
              <w:spacing w:after="0" w:line="168" w:lineRule="exact"/>
              <w:rPr>
                <w:sz w:val="20"/>
                <w:szCs w:val="20"/>
                <w:color w:val="auto"/>
              </w:rPr>
            </w:pPr>
            <w:r>
              <w:rPr>
                <w:rFonts w:ascii="Arial" w:cs="Arial" w:eastAsia="Arial" w:hAnsi="Arial"/>
                <w:sz w:val="16"/>
                <w:szCs w:val="16"/>
                <w:color w:val="auto"/>
              </w:rPr>
              <w:t>Unvested SARs continue to vest in the</w:t>
            </w:r>
          </w:p>
        </w:tc>
        <w:tc>
          <w:tcPr>
            <w:tcW w:w="3060" w:type="dxa"/>
            <w:vAlign w:val="bottom"/>
          </w:tcPr>
          <w:p>
            <w:pPr>
              <w:ind w:left="140"/>
              <w:spacing w:after="0" w:line="168" w:lineRule="exact"/>
              <w:rPr>
                <w:sz w:val="20"/>
                <w:szCs w:val="20"/>
                <w:color w:val="auto"/>
              </w:rPr>
            </w:pPr>
            <w:r>
              <w:rPr>
                <w:rFonts w:ascii="Arial" w:cs="Arial" w:eastAsia="Arial" w:hAnsi="Arial"/>
                <w:sz w:val="16"/>
                <w:szCs w:val="16"/>
                <w:color w:val="auto"/>
              </w:rPr>
              <w:t>Unvested SARs fully vest. Following</w:t>
            </w:r>
          </w:p>
        </w:tc>
      </w:tr>
      <w:tr>
        <w:trPr>
          <w:trHeight w:val="189"/>
        </w:trPr>
        <w:tc>
          <w:tcPr>
            <w:tcW w:w="1800" w:type="dxa"/>
            <w:vAlign w:val="bottom"/>
          </w:tcPr>
          <w:p>
            <w:pPr>
              <w:spacing w:after="0"/>
              <w:rPr>
                <w:sz w:val="16"/>
                <w:szCs w:val="16"/>
                <w:color w:val="auto"/>
              </w:rPr>
            </w:pPr>
          </w:p>
        </w:tc>
        <w:tc>
          <w:tcPr>
            <w:tcW w:w="3240" w:type="dxa"/>
            <w:vAlign w:val="bottom"/>
          </w:tcPr>
          <w:p>
            <w:pPr>
              <w:ind w:left="240"/>
              <w:spacing w:after="0"/>
              <w:rPr>
                <w:sz w:val="20"/>
                <w:szCs w:val="20"/>
                <w:color w:val="auto"/>
              </w:rPr>
            </w:pPr>
            <w:r>
              <w:rPr>
                <w:rFonts w:ascii="Arial" w:cs="Arial" w:eastAsia="Arial" w:hAnsi="Arial"/>
                <w:sz w:val="16"/>
                <w:szCs w:val="16"/>
                <w:color w:val="auto"/>
              </w:rPr>
              <w:t>vested SARs until the earlier of 90 days</w:t>
            </w:r>
          </w:p>
        </w:tc>
        <w:tc>
          <w:tcPr>
            <w:tcW w:w="3140" w:type="dxa"/>
            <w:vAlign w:val="bottom"/>
          </w:tcPr>
          <w:p>
            <w:pPr>
              <w:ind w:left="160"/>
              <w:spacing w:after="0"/>
              <w:rPr>
                <w:sz w:val="20"/>
                <w:szCs w:val="20"/>
                <w:color w:val="auto"/>
              </w:rPr>
            </w:pPr>
            <w:r>
              <w:rPr>
                <w:rFonts w:ascii="Arial" w:cs="Arial" w:eastAsia="Arial" w:hAnsi="Arial"/>
                <w:sz w:val="16"/>
                <w:szCs w:val="16"/>
                <w:color w:val="auto"/>
              </w:rPr>
              <w:t>normal course. Vested SARs</w:t>
            </w:r>
          </w:p>
        </w:tc>
        <w:tc>
          <w:tcPr>
            <w:tcW w:w="3060" w:type="dxa"/>
            <w:vAlign w:val="bottom"/>
          </w:tcPr>
          <w:p>
            <w:pPr>
              <w:ind w:left="140"/>
              <w:spacing w:after="0"/>
              <w:rPr>
                <w:sz w:val="20"/>
                <w:szCs w:val="20"/>
                <w:color w:val="auto"/>
              </w:rPr>
            </w:pPr>
            <w:r>
              <w:rPr>
                <w:rFonts w:ascii="Arial" w:cs="Arial" w:eastAsia="Arial" w:hAnsi="Arial"/>
                <w:sz w:val="16"/>
                <w:szCs w:val="16"/>
                <w:color w:val="auto"/>
              </w:rPr>
              <w:t>disability termination, vested SARs are</w:t>
            </w:r>
          </w:p>
        </w:tc>
      </w:tr>
      <w:tr>
        <w:trPr>
          <w:trHeight w:val="189"/>
        </w:trPr>
        <w:tc>
          <w:tcPr>
            <w:tcW w:w="1800" w:type="dxa"/>
            <w:vAlign w:val="bottom"/>
          </w:tcPr>
          <w:p>
            <w:pPr>
              <w:spacing w:after="0"/>
              <w:rPr>
                <w:sz w:val="16"/>
                <w:szCs w:val="16"/>
                <w:color w:val="auto"/>
              </w:rPr>
            </w:pPr>
          </w:p>
        </w:tc>
        <w:tc>
          <w:tcPr>
            <w:tcW w:w="3240" w:type="dxa"/>
            <w:vAlign w:val="bottom"/>
          </w:tcPr>
          <w:p>
            <w:pPr>
              <w:ind w:left="240"/>
              <w:spacing w:after="0"/>
              <w:rPr>
                <w:sz w:val="20"/>
                <w:szCs w:val="20"/>
                <w:color w:val="auto"/>
              </w:rPr>
            </w:pPr>
            <w:r>
              <w:rPr>
                <w:rFonts w:ascii="Arial" w:cs="Arial" w:eastAsia="Arial" w:hAnsi="Arial"/>
                <w:sz w:val="16"/>
                <w:szCs w:val="16"/>
                <w:color w:val="auto"/>
              </w:rPr>
              <w:t>after the termination date or the 10th</w:t>
            </w:r>
          </w:p>
        </w:tc>
        <w:tc>
          <w:tcPr>
            <w:tcW w:w="3140" w:type="dxa"/>
            <w:vAlign w:val="bottom"/>
          </w:tcPr>
          <w:p>
            <w:pPr>
              <w:ind w:left="160"/>
              <w:spacing w:after="0"/>
              <w:rPr>
                <w:sz w:val="20"/>
                <w:szCs w:val="20"/>
                <w:color w:val="auto"/>
              </w:rPr>
            </w:pPr>
            <w:r>
              <w:rPr>
                <w:rFonts w:ascii="Arial" w:cs="Arial" w:eastAsia="Arial" w:hAnsi="Arial"/>
                <w:sz w:val="16"/>
                <w:szCs w:val="16"/>
                <w:color w:val="auto"/>
              </w:rPr>
              <w:t>exercisable until the 10th anniversary of</w:t>
            </w:r>
          </w:p>
        </w:tc>
        <w:tc>
          <w:tcPr>
            <w:tcW w:w="3060" w:type="dxa"/>
            <w:vAlign w:val="bottom"/>
          </w:tcPr>
          <w:p>
            <w:pPr>
              <w:ind w:left="140"/>
              <w:spacing w:after="0"/>
              <w:rPr>
                <w:sz w:val="20"/>
                <w:szCs w:val="20"/>
                <w:color w:val="auto"/>
              </w:rPr>
            </w:pPr>
            <w:r>
              <w:rPr>
                <w:rFonts w:ascii="Arial" w:cs="Arial" w:eastAsia="Arial" w:hAnsi="Arial"/>
                <w:sz w:val="16"/>
                <w:szCs w:val="16"/>
                <w:color w:val="auto"/>
              </w:rPr>
              <w:t>exercisable for the earlier of 90 days</w:t>
            </w:r>
          </w:p>
        </w:tc>
      </w:tr>
      <w:tr>
        <w:trPr>
          <w:trHeight w:val="189"/>
        </w:trPr>
        <w:tc>
          <w:tcPr>
            <w:tcW w:w="1800" w:type="dxa"/>
            <w:vAlign w:val="bottom"/>
          </w:tcPr>
          <w:p>
            <w:pPr>
              <w:spacing w:after="0"/>
              <w:rPr>
                <w:sz w:val="16"/>
                <w:szCs w:val="16"/>
                <w:color w:val="auto"/>
              </w:rPr>
            </w:pPr>
          </w:p>
        </w:tc>
        <w:tc>
          <w:tcPr>
            <w:tcW w:w="3240" w:type="dxa"/>
            <w:vAlign w:val="bottom"/>
          </w:tcPr>
          <w:p>
            <w:pPr>
              <w:ind w:left="240"/>
              <w:spacing w:after="0"/>
              <w:rPr>
                <w:sz w:val="20"/>
                <w:szCs w:val="20"/>
                <w:color w:val="auto"/>
              </w:rPr>
            </w:pPr>
            <w:r>
              <w:rPr>
                <w:rFonts w:ascii="Arial" w:cs="Arial" w:eastAsia="Arial" w:hAnsi="Arial"/>
                <w:sz w:val="16"/>
                <w:szCs w:val="16"/>
                <w:color w:val="auto"/>
              </w:rPr>
              <w:t>anniversary of the grant date.</w:t>
            </w:r>
          </w:p>
        </w:tc>
        <w:tc>
          <w:tcPr>
            <w:tcW w:w="3140" w:type="dxa"/>
            <w:vAlign w:val="bottom"/>
          </w:tcPr>
          <w:p>
            <w:pPr>
              <w:ind w:left="160"/>
              <w:spacing w:after="0"/>
              <w:rPr>
                <w:sz w:val="20"/>
                <w:szCs w:val="20"/>
                <w:color w:val="auto"/>
              </w:rPr>
            </w:pPr>
            <w:r>
              <w:rPr>
                <w:rFonts w:ascii="Arial" w:cs="Arial" w:eastAsia="Arial" w:hAnsi="Arial"/>
                <w:sz w:val="16"/>
                <w:szCs w:val="16"/>
                <w:color w:val="auto"/>
              </w:rPr>
              <w:t>the grant date.</w:t>
            </w:r>
          </w:p>
        </w:tc>
        <w:tc>
          <w:tcPr>
            <w:tcW w:w="3060" w:type="dxa"/>
            <w:vAlign w:val="bottom"/>
          </w:tcPr>
          <w:p>
            <w:pPr>
              <w:ind w:left="140"/>
              <w:spacing w:after="0"/>
              <w:rPr>
                <w:sz w:val="20"/>
                <w:szCs w:val="20"/>
                <w:color w:val="auto"/>
              </w:rPr>
            </w:pPr>
            <w:r>
              <w:rPr>
                <w:rFonts w:ascii="Arial" w:cs="Arial" w:eastAsia="Arial" w:hAnsi="Arial"/>
                <w:sz w:val="16"/>
                <w:szCs w:val="16"/>
                <w:color w:val="auto"/>
              </w:rPr>
              <w:t>after the termination date or the 10th</w:t>
            </w:r>
          </w:p>
        </w:tc>
      </w:tr>
      <w:tr>
        <w:trPr>
          <w:trHeight w:val="189"/>
        </w:trPr>
        <w:tc>
          <w:tcPr>
            <w:tcW w:w="18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anniversary of the grant date. Upon</w:t>
            </w:r>
          </w:p>
        </w:tc>
      </w:tr>
      <w:tr>
        <w:trPr>
          <w:trHeight w:val="189"/>
        </w:trPr>
        <w:tc>
          <w:tcPr>
            <w:tcW w:w="18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death (or if the NEO dies within 90 days</w:t>
            </w:r>
          </w:p>
        </w:tc>
      </w:tr>
      <w:tr>
        <w:trPr>
          <w:trHeight w:val="189"/>
        </w:trPr>
        <w:tc>
          <w:tcPr>
            <w:tcW w:w="18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of termination due to disability or</w:t>
            </w:r>
          </w:p>
        </w:tc>
      </w:tr>
      <w:tr>
        <w:trPr>
          <w:trHeight w:val="189"/>
        </w:trPr>
        <w:tc>
          <w:tcPr>
            <w:tcW w:w="18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retirement) SARs are exercisable for</w:t>
            </w:r>
          </w:p>
        </w:tc>
      </w:tr>
      <w:tr>
        <w:trPr>
          <w:trHeight w:val="189"/>
        </w:trPr>
        <w:tc>
          <w:tcPr>
            <w:tcW w:w="180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060" w:type="dxa"/>
            <w:vAlign w:val="bottom"/>
          </w:tcPr>
          <w:p>
            <w:pPr>
              <w:ind w:left="140"/>
              <w:spacing w:after="0"/>
              <w:rPr>
                <w:sz w:val="20"/>
                <w:szCs w:val="20"/>
                <w:color w:val="auto"/>
              </w:rPr>
            </w:pPr>
            <w:r>
              <w:rPr>
                <w:rFonts w:ascii="Arial" w:cs="Arial" w:eastAsia="Arial" w:hAnsi="Arial"/>
                <w:sz w:val="16"/>
                <w:szCs w:val="16"/>
                <w:color w:val="auto"/>
              </w:rPr>
              <w:t>the earlier of one year after death or the</w:t>
            </w:r>
          </w:p>
        </w:tc>
      </w:tr>
      <w:tr>
        <w:trPr>
          <w:trHeight w:val="216"/>
        </w:trPr>
        <w:tc>
          <w:tcPr>
            <w:tcW w:w="1800" w:type="dxa"/>
            <w:vAlign w:val="bottom"/>
            <w:tcBorders>
              <w:bottom w:val="single" w:sz="8" w:color="BCBEC0"/>
            </w:tcBorders>
          </w:tcPr>
          <w:p>
            <w:pPr>
              <w:spacing w:after="0"/>
              <w:rPr>
                <w:sz w:val="18"/>
                <w:szCs w:val="18"/>
                <w:color w:val="auto"/>
              </w:rPr>
            </w:pPr>
          </w:p>
        </w:tc>
        <w:tc>
          <w:tcPr>
            <w:tcW w:w="3240" w:type="dxa"/>
            <w:vAlign w:val="bottom"/>
            <w:tcBorders>
              <w:bottom w:val="single" w:sz="8" w:color="BCBEC0"/>
            </w:tcBorders>
          </w:tcPr>
          <w:p>
            <w:pPr>
              <w:spacing w:after="0"/>
              <w:rPr>
                <w:sz w:val="18"/>
                <w:szCs w:val="18"/>
                <w:color w:val="auto"/>
              </w:rPr>
            </w:pPr>
          </w:p>
        </w:tc>
        <w:tc>
          <w:tcPr>
            <w:tcW w:w="3140" w:type="dxa"/>
            <w:vAlign w:val="bottom"/>
            <w:tcBorders>
              <w:bottom w:val="single" w:sz="8" w:color="BCBEC0"/>
            </w:tcBorders>
          </w:tcPr>
          <w:p>
            <w:pPr>
              <w:spacing w:after="0"/>
              <w:rPr>
                <w:sz w:val="18"/>
                <w:szCs w:val="18"/>
                <w:color w:val="auto"/>
              </w:rPr>
            </w:pPr>
          </w:p>
        </w:tc>
        <w:tc>
          <w:tcPr>
            <w:tcW w:w="3060" w:type="dxa"/>
            <w:vAlign w:val="bottom"/>
            <w:tcBorders>
              <w:bottom w:val="single" w:sz="8" w:color="BCBEC0"/>
            </w:tcBorders>
          </w:tcPr>
          <w:p>
            <w:pPr>
              <w:ind w:left="140"/>
              <w:spacing w:after="0"/>
              <w:rPr>
                <w:sz w:val="20"/>
                <w:szCs w:val="20"/>
                <w:color w:val="auto"/>
              </w:rPr>
            </w:pPr>
            <w:r>
              <w:rPr>
                <w:rFonts w:ascii="Arial" w:cs="Arial" w:eastAsia="Arial" w:hAnsi="Arial"/>
                <w:sz w:val="16"/>
                <w:szCs w:val="16"/>
                <w:color w:val="auto"/>
              </w:rPr>
              <w:t>10th anniversary of the grant date.</w:t>
            </w:r>
          </w:p>
        </w:tc>
      </w:tr>
    </w:tbl>
    <w:p>
      <w:pPr>
        <w:spacing w:after="0" w:line="47" w:lineRule="exact"/>
        <w:rPr>
          <w:sz w:val="20"/>
          <w:szCs w:val="20"/>
          <w:color w:val="auto"/>
        </w:rPr>
      </w:pPr>
    </w:p>
    <w:p>
      <w:pPr>
        <w:ind w:left="340" w:hanging="332"/>
        <w:spacing w:after="0" w:line="192" w:lineRule="auto"/>
        <w:tabs>
          <w:tab w:leader="none" w:pos="340" w:val="left"/>
        </w:tabs>
        <w:numPr>
          <w:ilvl w:val="0"/>
          <w:numId w:val="79"/>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Retirement means that the NEO has terminated employment with the Company, is at a minimum age of 55, and the executive’s age plus years of service with the Company equals or exceeds 70.</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66</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8859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46" w:lineRule="exact"/>
        <w:rPr>
          <w:sz w:val="20"/>
          <w:szCs w:val="20"/>
          <w:color w:val="auto"/>
        </w:rPr>
      </w:pPr>
    </w:p>
    <w:p>
      <w:pPr>
        <w:ind w:left="60"/>
        <w:spacing w:after="0"/>
        <w:tabs>
          <w:tab w:leader="none" w:pos="5720" w:val="left"/>
        </w:tabs>
        <w:rPr>
          <w:sz w:val="20"/>
          <w:szCs w:val="20"/>
          <w:color w:val="auto"/>
        </w:rPr>
      </w:pPr>
      <w:r>
        <w:rPr>
          <w:rFonts w:ascii="Arial" w:cs="Arial" w:eastAsia="Arial" w:hAnsi="Arial"/>
          <w:sz w:val="16"/>
          <w:szCs w:val="16"/>
          <w:b w:val="1"/>
          <w:bCs w:val="1"/>
          <w:color w:val="auto"/>
        </w:rPr>
        <w:t>Change in Control</w:t>
      </w:r>
      <w:r>
        <w:rPr>
          <w:sz w:val="20"/>
          <w:szCs w:val="20"/>
          <w:color w:val="auto"/>
        </w:rPr>
        <w:tab/>
      </w:r>
      <w:r>
        <w:rPr>
          <w:rFonts w:ascii="Arial" w:cs="Arial" w:eastAsia="Arial" w:hAnsi="Arial"/>
          <w:sz w:val="16"/>
          <w:szCs w:val="16"/>
          <w:b w:val="1"/>
          <w:bCs w:val="1"/>
          <w:color w:val="auto"/>
        </w:rPr>
        <w:t>Change in Control and Involuntary Termination</w:t>
      </w:r>
    </w:p>
    <w:p>
      <w:pPr>
        <w:sectPr>
          <w:pgSz w:w="11900" w:h="16838" w:orient="portrait"/>
          <w:cols w:equalWidth="0" w:num="1">
            <w:col w:w="11240"/>
          </w:cols>
          <w:pgMar w:left="320" w:top="238" w:right="339" w:bottom="1440" w:gutter="0" w:footer="0" w:header="0"/>
        </w:sectPr>
      </w:pPr>
    </w:p>
    <w:p>
      <w:pPr>
        <w:spacing w:after="0" w:line="35" w:lineRule="exact"/>
        <w:rPr>
          <w:sz w:val="20"/>
          <w:szCs w:val="20"/>
          <w:color w:val="auto"/>
        </w:rPr>
      </w:pPr>
    </w:p>
    <w:p>
      <w:pPr>
        <w:ind w:left="60"/>
        <w:spacing w:after="0" w:line="252" w:lineRule="auto"/>
        <w:rPr>
          <w:sz w:val="20"/>
          <w:szCs w:val="20"/>
          <w:color w:val="auto"/>
        </w:rPr>
      </w:pPr>
      <w:r>
        <w:rPr>
          <w:rFonts w:ascii="Arial" w:cs="Arial" w:eastAsia="Arial" w:hAnsi="Arial"/>
          <w:sz w:val="16"/>
          <w:szCs w:val="16"/>
          <w:color w:val="auto"/>
        </w:rPr>
        <w:t>Unless otherwise determined by the Compensation Committee, unvested time-based RS and SARs will be assumed by the acquirer and continue to vest. Treatment of unvested PS is subject to discretion of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560"/>
        <w:spacing w:after="0" w:line="265" w:lineRule="auto"/>
        <w:rPr>
          <w:sz w:val="20"/>
          <w:szCs w:val="20"/>
          <w:color w:val="auto"/>
        </w:rPr>
      </w:pPr>
      <w:r>
        <w:rPr>
          <w:rFonts w:ascii="Arial" w:cs="Arial" w:eastAsia="Arial" w:hAnsi="Arial"/>
          <w:sz w:val="16"/>
          <w:szCs w:val="16"/>
          <w:color w:val="auto"/>
        </w:rPr>
        <w:t>Unvested awards fully vest only if the NEO is involuntarily terminated without cause within 12 months following a change in control.</w:t>
      </w:r>
    </w:p>
    <w:p>
      <w:pPr>
        <w:spacing w:after="0" w:line="535" w:lineRule="exact"/>
        <w:rPr>
          <w:sz w:val="20"/>
          <w:szCs w:val="20"/>
          <w:color w:val="auto"/>
        </w:rPr>
      </w:pPr>
    </w:p>
    <w:p>
      <w:pPr>
        <w:sectPr>
          <w:pgSz w:w="11900" w:h="16838" w:orient="portrait"/>
          <w:cols w:equalWidth="0" w:num="2">
            <w:col w:w="5500" w:space="240"/>
            <w:col w:w="5500"/>
          </w:cols>
          <w:pgMar w:left="320" w:top="238" w:right="339" w:bottom="1440" w:gutter="0" w:footer="0" w:header="0"/>
          <w:type w:val="continuous"/>
        </w:sectPr>
      </w:pPr>
    </w:p>
    <w:p>
      <w:pPr>
        <w:spacing w:after="0"/>
        <w:rPr>
          <w:sz w:val="20"/>
          <w:szCs w:val="20"/>
          <w:color w:val="auto"/>
        </w:rPr>
      </w:pPr>
      <w:r>
        <w:rPr>
          <w:rFonts w:ascii="Arial" w:cs="Arial" w:eastAsia="Arial" w:hAnsi="Arial"/>
          <w:sz w:val="22"/>
          <w:szCs w:val="22"/>
          <w:b w:val="1"/>
          <w:bCs w:val="1"/>
          <w:color w:val="auto"/>
        </w:rPr>
        <w:t>Change in Control Severance Agreements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Each of our NEOs is a party to a CIC Agreement that provides severance benefits in the event of a termination of employment by the executive for good reason or by the Company (other than for cause or due to the executive’s death, disability or retirement) within two years after a change in control or, in certain circumstances, in anticipation of a change in control. CIC Agreements are only granted to officers, and only with the approval of the Board of Directors upon the recommendation of the Compensation Committee. The Compensation Committee and the Board intend for these agreements to foster a stable work environment by reinforcing and encouraging executives’ continued attention and dedication to job responsibilities without the personal distraction or conflict of interest that could arise from concerns about a potential change in control.</w:t>
      </w:r>
    </w:p>
    <w:p>
      <w:pPr>
        <w:spacing w:after="0" w:line="155"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 “change in control” is generally defined as a change in the majority of the Company’s Board of Directors during any 12-month period, the acquisition by a party directly or indirectly of 30% or more of the voting power of the Company during any 12-month period, a sale of substantially all of the Company’s assets, or the acquisition by a party of more than 50% of either the voting power of the Company or the fair market value of the Company.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change in control, the benefits provided to the NEOs under their CIC Agreements are as follows:</w:t>
      </w:r>
    </w:p>
    <w:p>
      <w:pPr>
        <w:spacing w:after="0" w:line="194"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6"/>
          <w:szCs w:val="16"/>
          <w:color w:val="2F8B9E"/>
        </w:rPr>
      </w:pPr>
      <w:r>
        <w:rPr>
          <w:rFonts w:ascii="Arial" w:cs="Arial" w:eastAsia="Arial" w:hAnsi="Arial"/>
          <w:sz w:val="16"/>
          <w:szCs w:val="16"/>
          <w:color w:val="auto"/>
        </w:rPr>
        <w:t>A lump sum payment of the NEO’s base salary multiplied by 2.5 for Messrs. Bakker and Sperry and 2.0 for Messrs. Mikes and Gumbs, and Ms. Lane.</w:t>
      </w:r>
    </w:p>
    <w:p>
      <w:pPr>
        <w:spacing w:after="0" w:line="86" w:lineRule="exact"/>
        <w:rPr>
          <w:rFonts w:ascii="Arial" w:cs="Arial" w:eastAsia="Arial" w:hAnsi="Arial"/>
          <w:sz w:val="16"/>
          <w:szCs w:val="16"/>
          <w:color w:val="2F8B9E"/>
        </w:rPr>
      </w:pPr>
    </w:p>
    <w:p>
      <w:pPr>
        <w:ind w:left="180" w:right="20" w:hanging="172"/>
        <w:spacing w:after="0" w:line="286" w:lineRule="auto"/>
        <w:tabs>
          <w:tab w:leader="none" w:pos="180" w:val="left"/>
        </w:tabs>
        <w:numPr>
          <w:ilvl w:val="0"/>
          <w:numId w:val="80"/>
        </w:numPr>
        <w:rPr>
          <w:rFonts w:ascii="Arial" w:cs="Arial" w:eastAsia="Arial" w:hAnsi="Arial"/>
          <w:sz w:val="16"/>
          <w:szCs w:val="16"/>
          <w:color w:val="2F8B9E"/>
        </w:rPr>
      </w:pPr>
      <w:r>
        <w:rPr>
          <w:rFonts w:ascii="Arial" w:cs="Arial" w:eastAsia="Arial" w:hAnsi="Arial"/>
          <w:sz w:val="16"/>
          <w:szCs w:val="16"/>
          <w:color w:val="auto"/>
        </w:rPr>
        <w:t>Continued medical, dental, vision, and life insurance benefits after termination for 2.5 years for Messrs. Bakker and Sperry and 2 years for Messrs. Mikes and Gumbs, and Ms. Lane.</w:t>
      </w:r>
    </w:p>
    <w:p>
      <w:pPr>
        <w:spacing w:after="0" w:line="20" w:lineRule="exact"/>
        <w:rPr>
          <w:rFonts w:ascii="Arial" w:cs="Arial" w:eastAsia="Arial" w:hAnsi="Arial"/>
          <w:sz w:val="16"/>
          <w:szCs w:val="16"/>
          <w:color w:val="2F8B9E"/>
        </w:rPr>
      </w:pPr>
    </w:p>
    <w:p>
      <w:pPr>
        <w:ind w:left="180" w:hanging="172"/>
        <w:spacing w:after="0" w:line="286" w:lineRule="auto"/>
        <w:tabs>
          <w:tab w:leader="none" w:pos="180" w:val="left"/>
        </w:tabs>
        <w:numPr>
          <w:ilvl w:val="0"/>
          <w:numId w:val="80"/>
        </w:numPr>
        <w:rPr>
          <w:rFonts w:ascii="Arial" w:cs="Arial" w:eastAsia="Arial" w:hAnsi="Arial"/>
          <w:sz w:val="16"/>
          <w:szCs w:val="16"/>
          <w:color w:val="2F8B9E"/>
        </w:rPr>
      </w:pPr>
      <w:r>
        <w:rPr>
          <w:rFonts w:ascii="Arial" w:cs="Arial" w:eastAsia="Arial" w:hAnsi="Arial"/>
          <w:sz w:val="16"/>
          <w:szCs w:val="16"/>
          <w:color w:val="auto"/>
        </w:rPr>
        <w:t>A lump sum payment of the target short-term incentive award for the year in which the change in control occurs multiplied by 2.5 for Messrs. Bakker and Sperry and 2.0 for Messrs. Mikes and Gumbs, and Ms. Lane.</w:t>
      </w:r>
    </w:p>
    <w:p>
      <w:pPr>
        <w:spacing w:after="0" w:line="20" w:lineRule="exact"/>
        <w:rPr>
          <w:rFonts w:ascii="Arial" w:cs="Arial" w:eastAsia="Arial" w:hAnsi="Arial"/>
          <w:sz w:val="16"/>
          <w:szCs w:val="16"/>
          <w:color w:val="2F8B9E"/>
        </w:rPr>
      </w:pPr>
    </w:p>
    <w:p>
      <w:pPr>
        <w:ind w:left="180" w:hanging="172"/>
        <w:spacing w:after="0"/>
        <w:tabs>
          <w:tab w:leader="none" w:pos="180" w:val="left"/>
        </w:tabs>
        <w:numPr>
          <w:ilvl w:val="0"/>
          <w:numId w:val="80"/>
        </w:numPr>
        <w:rPr>
          <w:rFonts w:ascii="Arial" w:cs="Arial" w:eastAsia="Arial" w:hAnsi="Arial"/>
          <w:sz w:val="16"/>
          <w:szCs w:val="16"/>
          <w:color w:val="2F8B9E"/>
        </w:rPr>
      </w:pPr>
      <w:r>
        <w:rPr>
          <w:rFonts w:ascii="Arial" w:cs="Arial" w:eastAsia="Arial" w:hAnsi="Arial"/>
          <w:sz w:val="16"/>
          <w:szCs w:val="16"/>
          <w:color w:val="auto"/>
        </w:rPr>
        <w:t>A lump sum payment of the pro-rated portion of their target annual short-term incentive award for the year in which the termination occurs.</w:t>
      </w:r>
    </w:p>
    <w:p>
      <w:pPr>
        <w:spacing w:after="0" w:line="86" w:lineRule="exact"/>
        <w:rPr>
          <w:rFonts w:ascii="Arial" w:cs="Arial" w:eastAsia="Arial" w:hAnsi="Arial"/>
          <w:sz w:val="16"/>
          <w:szCs w:val="16"/>
          <w:color w:val="2F8B9E"/>
        </w:rPr>
      </w:pPr>
    </w:p>
    <w:p>
      <w:pPr>
        <w:ind w:left="180" w:right="20" w:hanging="172"/>
        <w:spacing w:after="0" w:line="286" w:lineRule="auto"/>
        <w:tabs>
          <w:tab w:leader="none" w:pos="180" w:val="left"/>
        </w:tabs>
        <w:numPr>
          <w:ilvl w:val="0"/>
          <w:numId w:val="80"/>
        </w:numPr>
        <w:rPr>
          <w:rFonts w:ascii="Arial" w:cs="Arial" w:eastAsia="Arial" w:hAnsi="Arial"/>
          <w:sz w:val="16"/>
          <w:szCs w:val="16"/>
          <w:color w:val="2F8B9E"/>
        </w:rPr>
      </w:pPr>
      <w:r>
        <w:rPr>
          <w:rFonts w:ascii="Arial" w:cs="Arial" w:eastAsia="Arial" w:hAnsi="Arial"/>
          <w:sz w:val="16"/>
          <w:szCs w:val="16"/>
          <w:color w:val="auto"/>
        </w:rPr>
        <w:t>The incremental value of additional age and service credit under all applicable supplemental plans (subject to the terms of each plan freeze) payable as a lump sum.</w:t>
      </w:r>
    </w:p>
    <w:p>
      <w:pPr>
        <w:spacing w:after="0" w:line="20" w:lineRule="exact"/>
        <w:rPr>
          <w:rFonts w:ascii="Arial" w:cs="Arial" w:eastAsia="Arial" w:hAnsi="Arial"/>
          <w:sz w:val="16"/>
          <w:szCs w:val="16"/>
          <w:color w:val="2F8B9E"/>
        </w:rPr>
      </w:pPr>
    </w:p>
    <w:p>
      <w:pPr>
        <w:ind w:left="180" w:hanging="172"/>
        <w:spacing w:after="0"/>
        <w:tabs>
          <w:tab w:leader="none" w:pos="180" w:val="left"/>
        </w:tabs>
        <w:numPr>
          <w:ilvl w:val="0"/>
          <w:numId w:val="80"/>
        </w:numPr>
        <w:rPr>
          <w:rFonts w:ascii="Arial" w:cs="Arial" w:eastAsia="Arial" w:hAnsi="Arial"/>
          <w:sz w:val="16"/>
          <w:szCs w:val="16"/>
          <w:color w:val="2F8B9E"/>
        </w:rPr>
      </w:pPr>
      <w:r>
        <w:rPr>
          <w:rFonts w:ascii="Arial" w:cs="Arial" w:eastAsia="Arial" w:hAnsi="Arial"/>
          <w:sz w:val="16"/>
          <w:szCs w:val="16"/>
          <w:color w:val="auto"/>
        </w:rPr>
        <w:t>Outplacement services up to 12 months following termination at a cost not to exceed the lesser of 15% of the NEO’s annual base salary or $50,000.</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CIC Agreements provide that the severance multiple will be reduced in monthly increments over the two-year period following the NEO’s 63rd birthday until it is equivalent to the executive’s base salary and average short-term incentive award. The CIC Agreements also provide that if an executive would have otherwise incurred excise taxes under Section 4999 of the Code, the benefits under the CIC Agreement may be reduced to the “safe harbor amount” so that no excise taxes would be due, if such reduction would result in the executive being in a better net after-tax position. The CIC Agreements do not provide for any tax gross-up; executives would be required to pay any excise taxes due under Section 4999 of the Code.</w:t>
      </w:r>
    </w:p>
    <w:p>
      <w:pPr>
        <w:spacing w:after="0" w:line="15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Company has established a grantor trust to secure the benefits to be provided under the CIC Agreements, the non-qualified supplemental retirement plans, and other plans maintained by the Company for the benefit of senior management.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information relating to change in control benefits, see the Severance and Change in Control Benefits section on pages 55-56.</w:t>
      </w:r>
    </w:p>
    <w:p>
      <w:pPr>
        <w:spacing w:after="0" w:line="19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Employment Agreements with Named Executive Officers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Company does not have employment agreements with any of the NEOs.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DB Restoration Plan and DC Restoration Plan</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Under the terms of the DB Restoration Plan, upon a termination of employment due to disability, a participant is entitled to an unreduced immediate pension benefit based upon such participant’s service as of the date service was frozen under each plan (February 28, 2017, for the DB Restoration Plan).</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Among other provisions, the DB Restoration Plan provides for the (i) suspension, reduction, or termination of benefits in cases of gross misconduct by a participant; (ii) forfeiture of benefits if a retired participant engages in certain competitive activities; and (iii) reduction in benefits upon early retirement. However, after a change of control, a participant’s years of service with the Company (as calculated for the purpose of determining eligibility for the DB Restoration Plan benefits) and benefits accrued prior to the change in control event may not be reduced. If a participant’s employment is terminated within 2 years after a change in control, the participant will receive payment of DB Restoration Plan benefits in one lump sum within 10 days after termination.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All amounts owed under the DC Restoration Plan are paid in a lump sum within 60 days following a change in control.</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described above, the CIC Agreements also provide for additional incremental benefits based on age and service credit, to the extent applicable, under the supplemental plans upon qualifying terminations of employment in connection with a change in control.</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Potential Payments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following table reflects the estimated incremental post-termination amounts that would have been payable to each NEO on December 31, 2025, in the event of death, disability, involuntary termination without cause, retirement, or a change in control combined with an involuntary termination. No benefits are provided to an NEO upon a change in control unless such officer also experiences a qualifying termination. The amounts in the table are calculated in accordance with the terms of the applicable plans, policies, and agreements described above and assume that the NEO has met the applicable eligibility requirements. The amounts in the table do not include (i) any value that would be realized upon the exercise of vested SARs or settlement of vested Performance Shares or RS to the extent the awards were vested prior to December 31, 2025, by their terms, or (ii) the estimated value of vested and accrued pension benefits that would be received upon any termination of employment under the terms of the Company’s retirement plans.</w:t>
      </w:r>
    </w:p>
    <w:p>
      <w:pPr>
        <w:spacing w:after="0" w:line="15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68</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Post-Employment and Change in Control Payment Table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4300" w:type="dxa"/>
            <w:vAlign w:val="bottom"/>
            <w:tcBorders>
              <w:top w:val="single" w:sz="8" w:color="FFE933"/>
            </w:tcBorders>
            <w:shd w:val="clear" w:color="auto" w:fill="F1F2F2"/>
          </w:tcPr>
          <w:p>
            <w:pPr>
              <w:spacing w:after="0"/>
              <w:rPr>
                <w:sz w:val="23"/>
                <w:szCs w:val="23"/>
                <w:color w:val="auto"/>
              </w:rPr>
            </w:pPr>
          </w:p>
        </w:tc>
        <w:tc>
          <w:tcPr>
            <w:tcW w:w="1300" w:type="dxa"/>
            <w:vAlign w:val="bottom"/>
            <w:tcBorders>
              <w:top w:val="single" w:sz="8" w:color="FFE933"/>
            </w:tcBorders>
            <w:shd w:val="clear" w:color="auto" w:fill="F1F2F2"/>
          </w:tcPr>
          <w:p>
            <w:pPr>
              <w:spacing w:after="0"/>
              <w:rPr>
                <w:sz w:val="23"/>
                <w:szCs w:val="23"/>
                <w:color w:val="auto"/>
              </w:rPr>
            </w:pPr>
          </w:p>
        </w:tc>
        <w:tc>
          <w:tcPr>
            <w:tcW w:w="2160" w:type="dxa"/>
            <w:vAlign w:val="bottom"/>
            <w:tcBorders>
              <w:top w:val="single" w:sz="8" w:color="FFE933"/>
            </w:tcBorders>
            <w:shd w:val="clear" w:color="auto" w:fill="F1F2F2"/>
          </w:tcPr>
          <w:p>
            <w:pPr>
              <w:jc w:val="right"/>
              <w:ind w:right="99"/>
              <w:spacing w:after="0"/>
              <w:rPr>
                <w:sz w:val="20"/>
                <w:szCs w:val="20"/>
                <w:color w:val="auto"/>
              </w:rPr>
            </w:pPr>
            <w:r>
              <w:rPr>
                <w:rFonts w:ascii="Arial" w:cs="Arial" w:eastAsia="Arial" w:hAnsi="Arial"/>
                <w:sz w:val="16"/>
                <w:szCs w:val="16"/>
                <w:b w:val="1"/>
                <w:bCs w:val="1"/>
                <w:color w:val="auto"/>
              </w:rPr>
              <w:t>Equity Awards with</w:t>
            </w:r>
          </w:p>
        </w:tc>
        <w:tc>
          <w:tcPr>
            <w:tcW w:w="1180" w:type="dxa"/>
            <w:vAlign w:val="bottom"/>
            <w:tcBorders>
              <w:top w:val="single" w:sz="8" w:color="FFE933"/>
            </w:tcBorders>
            <w:shd w:val="clear" w:color="auto" w:fill="F1F2F2"/>
          </w:tcPr>
          <w:p>
            <w:pPr>
              <w:jc w:val="right"/>
              <w:ind w:right="99"/>
              <w:spacing w:after="0"/>
              <w:rPr>
                <w:sz w:val="20"/>
                <w:szCs w:val="20"/>
                <w:color w:val="auto"/>
              </w:rPr>
            </w:pPr>
            <w:r>
              <w:rPr>
                <w:rFonts w:ascii="Arial" w:cs="Arial" w:eastAsia="Arial" w:hAnsi="Arial"/>
                <w:sz w:val="16"/>
                <w:szCs w:val="16"/>
                <w:b w:val="1"/>
                <w:bCs w:val="1"/>
                <w:color w:val="auto"/>
              </w:rPr>
              <w:t>Pension</w:t>
            </w:r>
          </w:p>
        </w:tc>
        <w:tc>
          <w:tcPr>
            <w:tcW w:w="1220" w:type="dxa"/>
            <w:vAlign w:val="bottom"/>
            <w:tcBorders>
              <w:top w:val="single" w:sz="8" w:color="FFE933"/>
            </w:tcBorders>
            <w:shd w:val="clear" w:color="auto" w:fill="F1F2F2"/>
          </w:tcPr>
          <w:p>
            <w:pPr>
              <w:jc w:val="right"/>
              <w:ind w:right="139"/>
              <w:spacing w:after="0"/>
              <w:rPr>
                <w:sz w:val="20"/>
                <w:szCs w:val="20"/>
                <w:color w:val="auto"/>
              </w:rPr>
            </w:pPr>
            <w:r>
              <w:rPr>
                <w:rFonts w:ascii="Arial" w:cs="Arial" w:eastAsia="Arial" w:hAnsi="Arial"/>
                <w:sz w:val="16"/>
                <w:szCs w:val="16"/>
                <w:b w:val="1"/>
                <w:bCs w:val="1"/>
                <w:color w:val="auto"/>
              </w:rPr>
              <w:t>Welfare</w:t>
            </w:r>
          </w:p>
        </w:tc>
        <w:tc>
          <w:tcPr>
            <w:tcW w:w="1080" w:type="dxa"/>
            <w:vAlign w:val="bottom"/>
            <w:tcBorders>
              <w:top w:val="single" w:sz="8" w:color="FFE933"/>
            </w:tcBorders>
            <w:shd w:val="clear" w:color="auto" w:fill="F1F2F2"/>
          </w:tcPr>
          <w:p>
            <w:pPr>
              <w:spacing w:after="0"/>
              <w:rPr>
                <w:sz w:val="23"/>
                <w:szCs w:val="23"/>
                <w:color w:val="auto"/>
              </w:rPr>
            </w:pPr>
          </w:p>
        </w:tc>
      </w:tr>
      <w:tr>
        <w:trPr>
          <w:trHeight w:val="230"/>
        </w:trPr>
        <w:tc>
          <w:tcPr>
            <w:tcW w:w="4300" w:type="dxa"/>
            <w:vAlign w:val="bottom"/>
            <w:shd w:val="clear" w:color="auto" w:fill="F1F2F2"/>
          </w:tcPr>
          <w:p>
            <w:pPr>
              <w:spacing w:after="0"/>
              <w:rPr>
                <w:sz w:val="20"/>
                <w:szCs w:val="20"/>
                <w:color w:val="auto"/>
              </w:rPr>
            </w:pPr>
          </w:p>
        </w:tc>
        <w:tc>
          <w:tcPr>
            <w:tcW w:w="1300" w:type="dxa"/>
            <w:vAlign w:val="bottom"/>
            <w:shd w:val="clear" w:color="auto" w:fill="F1F2F2"/>
          </w:tcPr>
          <w:p>
            <w:pPr>
              <w:jc w:val="right"/>
              <w:ind w:right="39"/>
              <w:spacing w:after="0" w:line="230" w:lineRule="exact"/>
              <w:rPr>
                <w:sz w:val="20"/>
                <w:szCs w:val="20"/>
                <w:color w:val="auto"/>
              </w:rPr>
            </w:pPr>
            <w:r>
              <w:rPr>
                <w:rFonts w:ascii="Arial" w:cs="Arial" w:eastAsia="Arial" w:hAnsi="Arial"/>
                <w:sz w:val="16"/>
                <w:szCs w:val="16"/>
                <w:b w:val="1"/>
                <w:bCs w:val="1"/>
                <w:color w:val="auto"/>
              </w:rPr>
              <w:t>Severance</w:t>
            </w:r>
            <w:r>
              <w:rPr>
                <w:rFonts w:ascii="Arial" w:cs="Arial" w:eastAsia="Arial" w:hAnsi="Arial"/>
                <w:sz w:val="26"/>
                <w:szCs w:val="26"/>
                <w:b w:val="1"/>
                <w:bCs w:val="1"/>
                <w:color w:val="auto"/>
                <w:vertAlign w:val="superscript"/>
              </w:rPr>
              <w:t>(1)</w:t>
            </w:r>
          </w:p>
        </w:tc>
        <w:tc>
          <w:tcPr>
            <w:tcW w:w="2160" w:type="dxa"/>
            <w:vAlign w:val="bottom"/>
            <w:shd w:val="clear" w:color="auto" w:fill="F1F2F2"/>
          </w:tcPr>
          <w:p>
            <w:pPr>
              <w:jc w:val="right"/>
              <w:ind w:right="99"/>
              <w:spacing w:after="0" w:line="230" w:lineRule="exact"/>
              <w:rPr>
                <w:sz w:val="20"/>
                <w:szCs w:val="20"/>
                <w:color w:val="auto"/>
              </w:rPr>
            </w:pPr>
            <w:r>
              <w:rPr>
                <w:rFonts w:ascii="Arial" w:cs="Arial" w:eastAsia="Arial" w:hAnsi="Arial"/>
                <w:sz w:val="16"/>
                <w:szCs w:val="16"/>
                <w:b w:val="1"/>
                <w:bCs w:val="1"/>
                <w:color w:val="auto"/>
              </w:rPr>
              <w:t>Accelerated Vesting</w:t>
            </w:r>
            <w:r>
              <w:rPr>
                <w:rFonts w:ascii="Arial" w:cs="Arial" w:eastAsia="Arial" w:hAnsi="Arial"/>
                <w:sz w:val="26"/>
                <w:szCs w:val="26"/>
                <w:b w:val="1"/>
                <w:bCs w:val="1"/>
                <w:color w:val="auto"/>
                <w:vertAlign w:val="superscript"/>
              </w:rPr>
              <w:t>(2)(3)</w:t>
            </w:r>
          </w:p>
        </w:tc>
        <w:tc>
          <w:tcPr>
            <w:tcW w:w="1180" w:type="dxa"/>
            <w:vAlign w:val="bottom"/>
            <w:shd w:val="clear" w:color="auto" w:fill="F1F2F2"/>
          </w:tcPr>
          <w:p>
            <w:pPr>
              <w:jc w:val="right"/>
              <w:ind w:right="99"/>
              <w:spacing w:after="0" w:line="230" w:lineRule="exact"/>
              <w:rPr>
                <w:sz w:val="20"/>
                <w:szCs w:val="20"/>
                <w:color w:val="auto"/>
              </w:rPr>
            </w:pPr>
            <w:r>
              <w:rPr>
                <w:rFonts w:ascii="Arial" w:cs="Arial" w:eastAsia="Arial" w:hAnsi="Arial"/>
                <w:sz w:val="16"/>
                <w:szCs w:val="16"/>
                <w:b w:val="1"/>
                <w:bCs w:val="1"/>
                <w:color w:val="auto"/>
              </w:rPr>
              <w:t>Benefits</w:t>
            </w:r>
            <w:r>
              <w:rPr>
                <w:rFonts w:ascii="Arial" w:cs="Arial" w:eastAsia="Arial" w:hAnsi="Arial"/>
                <w:sz w:val="26"/>
                <w:szCs w:val="26"/>
                <w:b w:val="1"/>
                <w:bCs w:val="1"/>
                <w:color w:val="auto"/>
                <w:vertAlign w:val="superscript"/>
              </w:rPr>
              <w:t>(4)</w:t>
            </w:r>
          </w:p>
        </w:tc>
        <w:tc>
          <w:tcPr>
            <w:tcW w:w="1220" w:type="dxa"/>
            <w:vAlign w:val="bottom"/>
            <w:shd w:val="clear" w:color="auto" w:fill="F1F2F2"/>
          </w:tcPr>
          <w:p>
            <w:pPr>
              <w:jc w:val="right"/>
              <w:ind w:right="139"/>
              <w:spacing w:after="0" w:line="230" w:lineRule="exact"/>
              <w:rPr>
                <w:sz w:val="20"/>
                <w:szCs w:val="20"/>
                <w:color w:val="auto"/>
              </w:rPr>
            </w:pPr>
            <w:r>
              <w:rPr>
                <w:rFonts w:ascii="Arial" w:cs="Arial" w:eastAsia="Arial" w:hAnsi="Arial"/>
                <w:sz w:val="16"/>
                <w:szCs w:val="16"/>
                <w:b w:val="1"/>
                <w:bCs w:val="1"/>
                <w:color w:val="auto"/>
              </w:rPr>
              <w:t>Benefits</w:t>
            </w:r>
            <w:r>
              <w:rPr>
                <w:rFonts w:ascii="Arial" w:cs="Arial" w:eastAsia="Arial" w:hAnsi="Arial"/>
                <w:sz w:val="26"/>
                <w:szCs w:val="26"/>
                <w:b w:val="1"/>
                <w:bCs w:val="1"/>
                <w:color w:val="auto"/>
                <w:vertAlign w:val="superscript"/>
              </w:rPr>
              <w:t>(5)</w:t>
            </w:r>
          </w:p>
        </w:tc>
        <w:tc>
          <w:tcPr>
            <w:tcW w:w="10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Total</w:t>
            </w:r>
          </w:p>
        </w:tc>
      </w:tr>
      <w:tr>
        <w:trPr>
          <w:trHeight w:val="203"/>
        </w:trPr>
        <w:tc>
          <w:tcPr>
            <w:tcW w:w="430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Name</w:t>
            </w:r>
          </w:p>
        </w:tc>
        <w:tc>
          <w:tcPr>
            <w:tcW w:w="1300" w:type="dxa"/>
            <w:vAlign w:val="bottom"/>
            <w:shd w:val="clear" w:color="auto" w:fill="F1F2F2"/>
          </w:tcPr>
          <w:p>
            <w:pPr>
              <w:jc w:val="right"/>
              <w:ind w:right="39"/>
              <w:spacing w:after="0"/>
              <w:rPr>
                <w:sz w:val="20"/>
                <w:szCs w:val="20"/>
                <w:color w:val="auto"/>
              </w:rPr>
            </w:pPr>
            <w:r>
              <w:rPr>
                <w:rFonts w:ascii="Arial" w:cs="Arial" w:eastAsia="Arial" w:hAnsi="Arial"/>
                <w:sz w:val="16"/>
                <w:szCs w:val="16"/>
                <w:b w:val="1"/>
                <w:bCs w:val="1"/>
                <w:color w:val="auto"/>
              </w:rPr>
              <w:t>($)</w:t>
            </w:r>
          </w:p>
        </w:tc>
        <w:tc>
          <w:tcPr>
            <w:tcW w:w="2160" w:type="dxa"/>
            <w:vAlign w:val="bottom"/>
            <w:shd w:val="clear" w:color="auto" w:fill="F1F2F2"/>
          </w:tcPr>
          <w:p>
            <w:pPr>
              <w:jc w:val="right"/>
              <w:ind w:right="99"/>
              <w:spacing w:after="0"/>
              <w:rPr>
                <w:sz w:val="20"/>
                <w:szCs w:val="20"/>
                <w:color w:val="auto"/>
              </w:rPr>
            </w:pPr>
            <w:r>
              <w:rPr>
                <w:rFonts w:ascii="Arial" w:cs="Arial" w:eastAsia="Arial" w:hAnsi="Arial"/>
                <w:sz w:val="16"/>
                <w:szCs w:val="16"/>
                <w:b w:val="1"/>
                <w:bCs w:val="1"/>
                <w:color w:val="auto"/>
              </w:rPr>
              <w:t>($)</w:t>
            </w:r>
          </w:p>
        </w:tc>
        <w:tc>
          <w:tcPr>
            <w:tcW w:w="1180" w:type="dxa"/>
            <w:vAlign w:val="bottom"/>
            <w:shd w:val="clear" w:color="auto" w:fill="F1F2F2"/>
          </w:tcPr>
          <w:p>
            <w:pPr>
              <w:jc w:val="right"/>
              <w:ind w:right="99"/>
              <w:spacing w:after="0"/>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F1F2F2"/>
          </w:tcPr>
          <w:p>
            <w:pPr>
              <w:jc w:val="right"/>
              <w:ind w:right="139"/>
              <w:spacing w:after="0"/>
              <w:rPr>
                <w:sz w:val="20"/>
                <w:szCs w:val="20"/>
                <w:color w:val="auto"/>
              </w:rPr>
            </w:pPr>
            <w:r>
              <w:rPr>
                <w:rFonts w:ascii="Arial" w:cs="Arial" w:eastAsia="Arial" w:hAnsi="Arial"/>
                <w:sz w:val="16"/>
                <w:szCs w:val="16"/>
                <w:b w:val="1"/>
                <w:bCs w:val="1"/>
                <w:color w:val="auto"/>
              </w:rPr>
              <w:t>($)</w:t>
            </w:r>
          </w:p>
        </w:tc>
        <w:tc>
          <w:tcPr>
            <w:tcW w:w="10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r>
      <w:tr>
        <w:trPr>
          <w:trHeight w:val="189"/>
        </w:trPr>
        <w:tc>
          <w:tcPr>
            <w:tcW w:w="43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GERBEN W. BAKKER</w:t>
            </w:r>
          </w:p>
        </w:tc>
        <w:tc>
          <w:tcPr>
            <w:tcW w:w="1300" w:type="dxa"/>
            <w:vAlign w:val="bottom"/>
            <w:tcBorders>
              <w:bottom w:val="single" w:sz="8" w:color="BCBEC0"/>
            </w:tcBorders>
          </w:tcPr>
          <w:p>
            <w:pPr>
              <w:spacing w:after="0"/>
              <w:rPr>
                <w:sz w:val="16"/>
                <w:szCs w:val="16"/>
                <w:color w:val="auto"/>
              </w:rPr>
            </w:pPr>
          </w:p>
        </w:tc>
        <w:tc>
          <w:tcPr>
            <w:tcW w:w="2160" w:type="dxa"/>
            <w:vAlign w:val="bottom"/>
            <w:tcBorders>
              <w:bottom w:val="single" w:sz="8" w:color="BCBEC0"/>
            </w:tcBorders>
          </w:tcPr>
          <w:p>
            <w:pPr>
              <w:spacing w:after="0"/>
              <w:rPr>
                <w:sz w:val="16"/>
                <w:szCs w:val="16"/>
                <w:color w:val="auto"/>
              </w:rPr>
            </w:pPr>
          </w:p>
        </w:tc>
        <w:tc>
          <w:tcPr>
            <w:tcW w:w="1180" w:type="dxa"/>
            <w:vAlign w:val="bottom"/>
            <w:tcBorders>
              <w:bottom w:val="single" w:sz="8" w:color="BCBEC0"/>
            </w:tcBorders>
          </w:tcPr>
          <w:p>
            <w:pPr>
              <w:spacing w:after="0"/>
              <w:rPr>
                <w:sz w:val="16"/>
                <w:szCs w:val="16"/>
                <w:color w:val="auto"/>
              </w:rPr>
            </w:pPr>
          </w:p>
        </w:tc>
        <w:tc>
          <w:tcPr>
            <w:tcW w:w="1220" w:type="dxa"/>
            <w:vAlign w:val="bottom"/>
            <w:tcBorders>
              <w:bottom w:val="single" w:sz="8" w:color="BCBEC0"/>
            </w:tcBorders>
          </w:tcPr>
          <w:p>
            <w:pPr>
              <w:spacing w:after="0"/>
              <w:rPr>
                <w:sz w:val="16"/>
                <w:szCs w:val="16"/>
                <w:color w:val="auto"/>
              </w:rPr>
            </w:pPr>
          </w:p>
        </w:tc>
        <w:tc>
          <w:tcPr>
            <w:tcW w:w="1080" w:type="dxa"/>
            <w:vAlign w:val="bottom"/>
            <w:tcBorders>
              <w:bottom w:val="single" w:sz="8" w:color="BCBEC0"/>
            </w:tcBorders>
          </w:tcPr>
          <w:p>
            <w:pPr>
              <w:spacing w:after="0"/>
              <w:rPr>
                <w:sz w:val="16"/>
                <w:szCs w:val="16"/>
                <w:color w:val="auto"/>
              </w:rPr>
            </w:pP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Death</w:t>
            </w:r>
          </w:p>
        </w:tc>
        <w:tc>
          <w:tcPr>
            <w:tcW w:w="130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22,972,849</w:t>
            </w:r>
          </w:p>
        </w:tc>
        <w:tc>
          <w:tcPr>
            <w:tcW w:w="118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22,972,849</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Disability</w:t>
            </w:r>
            <w:r>
              <w:rPr>
                <w:rFonts w:ascii="Arial" w:cs="Arial" w:eastAsia="Arial" w:hAnsi="Arial"/>
                <w:sz w:val="25"/>
                <w:szCs w:val="25"/>
                <w:color w:val="auto"/>
                <w:vertAlign w:val="superscript"/>
              </w:rPr>
              <w:t>(6)</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22,972,849</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22,972,849</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Involuntary Termination</w:t>
            </w:r>
            <w:r>
              <w:rPr>
                <w:rFonts w:ascii="Arial" w:cs="Arial" w:eastAsia="Arial" w:hAnsi="Arial"/>
                <w:sz w:val="25"/>
                <w:szCs w:val="25"/>
                <w:color w:val="auto"/>
                <w:vertAlign w:val="superscript"/>
              </w:rPr>
              <w:t>(7)</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3,219,970</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6,491,111</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86,582</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9,797,663</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Retirement</w:t>
            </w:r>
            <w:r>
              <w:rPr>
                <w:rFonts w:ascii="Arial" w:cs="Arial" w:eastAsia="Arial" w:hAnsi="Arial"/>
                <w:sz w:val="25"/>
                <w:szCs w:val="25"/>
                <w:color w:val="auto"/>
                <w:vertAlign w:val="superscript"/>
              </w:rPr>
              <w:t>(8)</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6,491,111</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6,491,111</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Change in Control and Involuntary Termination</w:t>
            </w:r>
            <w:r>
              <w:rPr>
                <w:rFonts w:ascii="Arial" w:cs="Arial" w:eastAsia="Arial" w:hAnsi="Arial"/>
                <w:sz w:val="25"/>
                <w:szCs w:val="25"/>
                <w:color w:val="auto"/>
                <w:vertAlign w:val="superscript"/>
              </w:rPr>
              <w:t>(9),(10),(11)</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4,793,256</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22,972,849</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501,865</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114,703</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28,382,673</w:t>
            </w: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WILLIAM R. SPERRY</w:t>
            </w:r>
          </w:p>
        </w:tc>
        <w:tc>
          <w:tcPr>
            <w:tcW w:w="1300" w:type="dxa"/>
            <w:vAlign w:val="bottom"/>
            <w:tcBorders>
              <w:bottom w:val="single" w:sz="8" w:color="BCBEC0"/>
            </w:tcBorders>
          </w:tcPr>
          <w:p>
            <w:pPr>
              <w:spacing w:after="0"/>
              <w:rPr>
                <w:sz w:val="15"/>
                <w:szCs w:val="15"/>
                <w:color w:val="auto"/>
              </w:rPr>
            </w:pPr>
          </w:p>
        </w:tc>
        <w:tc>
          <w:tcPr>
            <w:tcW w:w="2160" w:type="dxa"/>
            <w:vAlign w:val="bottom"/>
            <w:tcBorders>
              <w:bottom w:val="single" w:sz="8" w:color="BCBEC0"/>
            </w:tcBorders>
          </w:tcPr>
          <w:p>
            <w:pPr>
              <w:spacing w:after="0"/>
              <w:rPr>
                <w:sz w:val="15"/>
                <w:szCs w:val="15"/>
                <w:color w:val="auto"/>
              </w:rPr>
            </w:pPr>
          </w:p>
        </w:tc>
        <w:tc>
          <w:tcPr>
            <w:tcW w:w="1180" w:type="dxa"/>
            <w:vAlign w:val="bottom"/>
            <w:tcBorders>
              <w:bottom w:val="single" w:sz="8" w:color="BCBEC0"/>
            </w:tcBorders>
          </w:tcPr>
          <w:p>
            <w:pPr>
              <w:spacing w:after="0"/>
              <w:rPr>
                <w:sz w:val="15"/>
                <w:szCs w:val="15"/>
                <w:color w:val="auto"/>
              </w:rPr>
            </w:pPr>
          </w:p>
        </w:tc>
        <w:tc>
          <w:tcPr>
            <w:tcW w:w="1220" w:type="dxa"/>
            <w:vAlign w:val="bottom"/>
            <w:tcBorders>
              <w:bottom w:val="single" w:sz="8" w:color="BCBEC0"/>
            </w:tcBorders>
          </w:tcPr>
          <w:p>
            <w:pPr>
              <w:spacing w:after="0"/>
              <w:rPr>
                <w:sz w:val="15"/>
                <w:szCs w:val="15"/>
                <w:color w:val="auto"/>
              </w:rPr>
            </w:pPr>
          </w:p>
        </w:tc>
        <w:tc>
          <w:tcPr>
            <w:tcW w:w="1080" w:type="dxa"/>
            <w:vAlign w:val="bottom"/>
            <w:tcBorders>
              <w:bottom w:val="single" w:sz="8" w:color="BCBEC0"/>
            </w:tcBorders>
          </w:tcPr>
          <w:p>
            <w:pPr>
              <w:spacing w:after="0"/>
              <w:rPr>
                <w:sz w:val="15"/>
                <w:szCs w:val="15"/>
                <w:color w:val="auto"/>
              </w:rPr>
            </w:pP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Death</w:t>
            </w:r>
          </w:p>
        </w:tc>
        <w:tc>
          <w:tcPr>
            <w:tcW w:w="130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8,237,874</w:t>
            </w:r>
          </w:p>
        </w:tc>
        <w:tc>
          <w:tcPr>
            <w:tcW w:w="118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8,237,874</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Disability</w:t>
            </w:r>
            <w:r>
              <w:rPr>
                <w:rFonts w:ascii="Arial" w:cs="Arial" w:eastAsia="Arial" w:hAnsi="Arial"/>
                <w:sz w:val="25"/>
                <w:szCs w:val="25"/>
                <w:color w:val="auto"/>
                <w:vertAlign w:val="superscript"/>
              </w:rPr>
              <w:t>(6)</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8,237,874</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8,237,874</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Involuntary Termination</w:t>
            </w:r>
            <w:r>
              <w:rPr>
                <w:rFonts w:ascii="Arial" w:cs="Arial" w:eastAsia="Arial" w:hAnsi="Arial"/>
                <w:sz w:val="25"/>
                <w:szCs w:val="25"/>
                <w:color w:val="auto"/>
                <w:vertAlign w:val="superscript"/>
              </w:rPr>
              <w:t>(7)</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1,730,764</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2,657,110</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73,256</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4,461,130</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Retirement</w:t>
            </w:r>
            <w:r>
              <w:rPr>
                <w:rFonts w:ascii="Arial" w:cs="Arial" w:eastAsia="Arial" w:hAnsi="Arial"/>
                <w:sz w:val="25"/>
                <w:szCs w:val="25"/>
                <w:color w:val="auto"/>
                <w:vertAlign w:val="superscript"/>
              </w:rPr>
              <w:t>(8)</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2,657,110</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2,657,110</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Change in Control and Involuntary Termination</w:t>
            </w:r>
            <w:r>
              <w:rPr>
                <w:rFonts w:ascii="Arial" w:cs="Arial" w:eastAsia="Arial" w:hAnsi="Arial"/>
                <w:sz w:val="25"/>
                <w:szCs w:val="25"/>
                <w:color w:val="auto"/>
                <w:vertAlign w:val="superscript"/>
              </w:rPr>
              <w:t>(9),(10),(11)</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2,692,210</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8,237,874</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98,168</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11,028,252</w:t>
            </w: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MARK E. MIKES</w:t>
            </w:r>
          </w:p>
        </w:tc>
        <w:tc>
          <w:tcPr>
            <w:tcW w:w="1300" w:type="dxa"/>
            <w:vAlign w:val="bottom"/>
            <w:tcBorders>
              <w:bottom w:val="single" w:sz="8" w:color="BCBEC0"/>
            </w:tcBorders>
          </w:tcPr>
          <w:p>
            <w:pPr>
              <w:spacing w:after="0"/>
              <w:rPr>
                <w:sz w:val="15"/>
                <w:szCs w:val="15"/>
                <w:color w:val="auto"/>
              </w:rPr>
            </w:pPr>
          </w:p>
        </w:tc>
        <w:tc>
          <w:tcPr>
            <w:tcW w:w="2160" w:type="dxa"/>
            <w:vAlign w:val="bottom"/>
            <w:tcBorders>
              <w:bottom w:val="single" w:sz="8" w:color="BCBEC0"/>
            </w:tcBorders>
          </w:tcPr>
          <w:p>
            <w:pPr>
              <w:spacing w:after="0"/>
              <w:rPr>
                <w:sz w:val="15"/>
                <w:szCs w:val="15"/>
                <w:color w:val="auto"/>
              </w:rPr>
            </w:pPr>
          </w:p>
        </w:tc>
        <w:tc>
          <w:tcPr>
            <w:tcW w:w="1180" w:type="dxa"/>
            <w:vAlign w:val="bottom"/>
            <w:tcBorders>
              <w:bottom w:val="single" w:sz="8" w:color="BCBEC0"/>
            </w:tcBorders>
          </w:tcPr>
          <w:p>
            <w:pPr>
              <w:spacing w:after="0"/>
              <w:rPr>
                <w:sz w:val="15"/>
                <w:szCs w:val="15"/>
                <w:color w:val="auto"/>
              </w:rPr>
            </w:pPr>
          </w:p>
        </w:tc>
        <w:tc>
          <w:tcPr>
            <w:tcW w:w="1220" w:type="dxa"/>
            <w:vAlign w:val="bottom"/>
            <w:tcBorders>
              <w:bottom w:val="single" w:sz="8" w:color="BCBEC0"/>
            </w:tcBorders>
          </w:tcPr>
          <w:p>
            <w:pPr>
              <w:spacing w:after="0"/>
              <w:rPr>
                <w:sz w:val="15"/>
                <w:szCs w:val="15"/>
                <w:color w:val="auto"/>
              </w:rPr>
            </w:pPr>
          </w:p>
        </w:tc>
        <w:tc>
          <w:tcPr>
            <w:tcW w:w="1080" w:type="dxa"/>
            <w:vAlign w:val="bottom"/>
            <w:tcBorders>
              <w:bottom w:val="single" w:sz="8" w:color="BCBEC0"/>
            </w:tcBorders>
          </w:tcPr>
          <w:p>
            <w:pPr>
              <w:spacing w:after="0"/>
              <w:rPr>
                <w:sz w:val="15"/>
                <w:szCs w:val="15"/>
                <w:color w:val="auto"/>
              </w:rPr>
            </w:pP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Death</w:t>
            </w:r>
          </w:p>
        </w:tc>
        <w:tc>
          <w:tcPr>
            <w:tcW w:w="130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3,735,369</w:t>
            </w:r>
          </w:p>
        </w:tc>
        <w:tc>
          <w:tcPr>
            <w:tcW w:w="118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3,735,369</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Disability</w:t>
            </w:r>
            <w:r>
              <w:rPr>
                <w:rFonts w:ascii="Arial" w:cs="Arial" w:eastAsia="Arial" w:hAnsi="Arial"/>
                <w:sz w:val="25"/>
                <w:szCs w:val="25"/>
                <w:color w:val="auto"/>
                <w:vertAlign w:val="superscript"/>
              </w:rPr>
              <w:t>(6)</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3,735,369</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3,735,369</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Involuntary Termination</w:t>
            </w:r>
            <w:r>
              <w:rPr>
                <w:rFonts w:ascii="Arial" w:cs="Arial" w:eastAsia="Arial" w:hAnsi="Arial"/>
                <w:sz w:val="25"/>
                <w:szCs w:val="25"/>
                <w:color w:val="auto"/>
                <w:vertAlign w:val="superscript"/>
              </w:rPr>
              <w:t>(7)</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1,428,786</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1,399,835</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76,676</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2,905,297</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Retirement</w:t>
            </w:r>
            <w:r>
              <w:rPr>
                <w:rFonts w:ascii="Arial" w:cs="Arial" w:eastAsia="Arial" w:hAnsi="Arial"/>
                <w:sz w:val="25"/>
                <w:szCs w:val="25"/>
                <w:color w:val="auto"/>
                <w:vertAlign w:val="superscript"/>
              </w:rPr>
              <w:t>(8)</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1,399,835</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1,399,835</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Change in Control and Involuntary Termination</w:t>
            </w:r>
            <w:r>
              <w:rPr>
                <w:rFonts w:ascii="Arial" w:cs="Arial" w:eastAsia="Arial" w:hAnsi="Arial"/>
                <w:sz w:val="25"/>
                <w:szCs w:val="25"/>
                <w:color w:val="auto"/>
                <w:vertAlign w:val="superscript"/>
              </w:rPr>
              <w:t>(9),(10),(11)</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1,187,134</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3,735,369</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124,891</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88,534</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5,135,928</w:t>
            </w: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GREGORY A. GUMBS</w:t>
            </w:r>
          </w:p>
        </w:tc>
        <w:tc>
          <w:tcPr>
            <w:tcW w:w="1300" w:type="dxa"/>
            <w:vAlign w:val="bottom"/>
            <w:tcBorders>
              <w:bottom w:val="single" w:sz="8" w:color="BCBEC0"/>
            </w:tcBorders>
          </w:tcPr>
          <w:p>
            <w:pPr>
              <w:spacing w:after="0"/>
              <w:rPr>
                <w:sz w:val="15"/>
                <w:szCs w:val="15"/>
                <w:color w:val="auto"/>
              </w:rPr>
            </w:pPr>
          </w:p>
        </w:tc>
        <w:tc>
          <w:tcPr>
            <w:tcW w:w="2160" w:type="dxa"/>
            <w:vAlign w:val="bottom"/>
            <w:tcBorders>
              <w:bottom w:val="single" w:sz="8" w:color="BCBEC0"/>
            </w:tcBorders>
          </w:tcPr>
          <w:p>
            <w:pPr>
              <w:spacing w:after="0"/>
              <w:rPr>
                <w:sz w:val="15"/>
                <w:szCs w:val="15"/>
                <w:color w:val="auto"/>
              </w:rPr>
            </w:pPr>
          </w:p>
        </w:tc>
        <w:tc>
          <w:tcPr>
            <w:tcW w:w="1180" w:type="dxa"/>
            <w:vAlign w:val="bottom"/>
            <w:tcBorders>
              <w:bottom w:val="single" w:sz="8" w:color="BCBEC0"/>
            </w:tcBorders>
          </w:tcPr>
          <w:p>
            <w:pPr>
              <w:spacing w:after="0"/>
              <w:rPr>
                <w:sz w:val="15"/>
                <w:szCs w:val="15"/>
                <w:color w:val="auto"/>
              </w:rPr>
            </w:pPr>
          </w:p>
        </w:tc>
        <w:tc>
          <w:tcPr>
            <w:tcW w:w="1220" w:type="dxa"/>
            <w:vAlign w:val="bottom"/>
            <w:tcBorders>
              <w:bottom w:val="single" w:sz="8" w:color="BCBEC0"/>
            </w:tcBorders>
          </w:tcPr>
          <w:p>
            <w:pPr>
              <w:spacing w:after="0"/>
              <w:rPr>
                <w:sz w:val="15"/>
                <w:szCs w:val="15"/>
                <w:color w:val="auto"/>
              </w:rPr>
            </w:pPr>
          </w:p>
        </w:tc>
        <w:tc>
          <w:tcPr>
            <w:tcW w:w="1080" w:type="dxa"/>
            <w:vAlign w:val="bottom"/>
            <w:tcBorders>
              <w:bottom w:val="single" w:sz="8" w:color="BCBEC0"/>
            </w:tcBorders>
          </w:tcPr>
          <w:p>
            <w:pPr>
              <w:spacing w:after="0"/>
              <w:rPr>
                <w:sz w:val="15"/>
                <w:szCs w:val="15"/>
                <w:color w:val="auto"/>
              </w:rPr>
            </w:pP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Death</w:t>
            </w:r>
          </w:p>
        </w:tc>
        <w:tc>
          <w:tcPr>
            <w:tcW w:w="130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2,974,406</w:t>
            </w:r>
          </w:p>
        </w:tc>
        <w:tc>
          <w:tcPr>
            <w:tcW w:w="118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2,974,406</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Disability</w:t>
            </w:r>
            <w:r>
              <w:rPr>
                <w:rFonts w:ascii="Arial" w:cs="Arial" w:eastAsia="Arial" w:hAnsi="Arial"/>
                <w:sz w:val="25"/>
                <w:szCs w:val="25"/>
                <w:color w:val="auto"/>
                <w:vertAlign w:val="superscript"/>
              </w:rPr>
              <w:t>(6)</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2,974,406</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2,974,406</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Involuntary Termination</w:t>
            </w:r>
            <w:r>
              <w:rPr>
                <w:rFonts w:ascii="Arial" w:cs="Arial" w:eastAsia="Arial" w:hAnsi="Arial"/>
                <w:sz w:val="25"/>
                <w:szCs w:val="25"/>
                <w:color w:val="auto"/>
                <w:vertAlign w:val="superscript"/>
              </w:rPr>
              <w:t>(7)</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806,254</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59,984</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866,238</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Change in Control and Involuntary Termination</w:t>
            </w:r>
            <w:r>
              <w:rPr>
                <w:rFonts w:ascii="Arial" w:cs="Arial" w:eastAsia="Arial" w:hAnsi="Arial"/>
                <w:sz w:val="25"/>
                <w:szCs w:val="25"/>
                <w:color w:val="auto"/>
                <w:vertAlign w:val="superscript"/>
              </w:rPr>
              <w:t>(9),(10),(11)</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1,871,904</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2,974,406</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92,968</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4,939,278</w:t>
            </w: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KATHERINE A. LANE</w:t>
            </w:r>
          </w:p>
        </w:tc>
        <w:tc>
          <w:tcPr>
            <w:tcW w:w="1300" w:type="dxa"/>
            <w:vAlign w:val="bottom"/>
            <w:tcBorders>
              <w:bottom w:val="single" w:sz="8" w:color="BCBEC0"/>
            </w:tcBorders>
          </w:tcPr>
          <w:p>
            <w:pPr>
              <w:spacing w:after="0"/>
              <w:rPr>
                <w:sz w:val="15"/>
                <w:szCs w:val="15"/>
                <w:color w:val="auto"/>
              </w:rPr>
            </w:pPr>
          </w:p>
        </w:tc>
        <w:tc>
          <w:tcPr>
            <w:tcW w:w="2160" w:type="dxa"/>
            <w:vAlign w:val="bottom"/>
            <w:tcBorders>
              <w:bottom w:val="single" w:sz="8" w:color="BCBEC0"/>
            </w:tcBorders>
          </w:tcPr>
          <w:p>
            <w:pPr>
              <w:spacing w:after="0"/>
              <w:rPr>
                <w:sz w:val="15"/>
                <w:szCs w:val="15"/>
                <w:color w:val="auto"/>
              </w:rPr>
            </w:pPr>
          </w:p>
        </w:tc>
        <w:tc>
          <w:tcPr>
            <w:tcW w:w="1180" w:type="dxa"/>
            <w:vAlign w:val="bottom"/>
            <w:tcBorders>
              <w:bottom w:val="single" w:sz="8" w:color="BCBEC0"/>
            </w:tcBorders>
          </w:tcPr>
          <w:p>
            <w:pPr>
              <w:spacing w:after="0"/>
              <w:rPr>
                <w:sz w:val="15"/>
                <w:szCs w:val="15"/>
                <w:color w:val="auto"/>
              </w:rPr>
            </w:pPr>
          </w:p>
        </w:tc>
        <w:tc>
          <w:tcPr>
            <w:tcW w:w="1220" w:type="dxa"/>
            <w:vAlign w:val="bottom"/>
            <w:tcBorders>
              <w:bottom w:val="single" w:sz="8" w:color="BCBEC0"/>
            </w:tcBorders>
          </w:tcPr>
          <w:p>
            <w:pPr>
              <w:spacing w:after="0"/>
              <w:rPr>
                <w:sz w:val="15"/>
                <w:szCs w:val="15"/>
                <w:color w:val="auto"/>
              </w:rPr>
            </w:pPr>
          </w:p>
        </w:tc>
        <w:tc>
          <w:tcPr>
            <w:tcW w:w="1080" w:type="dxa"/>
            <w:vAlign w:val="bottom"/>
            <w:tcBorders>
              <w:bottom w:val="single" w:sz="8" w:color="BCBEC0"/>
            </w:tcBorders>
          </w:tcPr>
          <w:p>
            <w:pPr>
              <w:spacing w:after="0"/>
              <w:rPr>
                <w:sz w:val="15"/>
                <w:szCs w:val="15"/>
                <w:color w:val="auto"/>
              </w:rPr>
            </w:pPr>
          </w:p>
        </w:tc>
      </w:tr>
      <w:tr>
        <w:trPr>
          <w:trHeight w:val="183"/>
        </w:trPr>
        <w:tc>
          <w:tcPr>
            <w:tcW w:w="43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Death</w:t>
            </w:r>
          </w:p>
        </w:tc>
        <w:tc>
          <w:tcPr>
            <w:tcW w:w="130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3,877,350</w:t>
            </w:r>
          </w:p>
        </w:tc>
        <w:tc>
          <w:tcPr>
            <w:tcW w:w="118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line="183"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3,877,350</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Disability</w:t>
            </w:r>
            <w:r>
              <w:rPr>
                <w:rFonts w:ascii="Arial" w:cs="Arial" w:eastAsia="Arial" w:hAnsi="Arial"/>
                <w:sz w:val="25"/>
                <w:szCs w:val="25"/>
                <w:color w:val="auto"/>
                <w:vertAlign w:val="superscript"/>
              </w:rPr>
              <w:t>(6)</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3,877,350</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3,877,350</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Involuntary Termination</w:t>
            </w:r>
            <w:r>
              <w:rPr>
                <w:rFonts w:ascii="Arial" w:cs="Arial" w:eastAsia="Arial" w:hAnsi="Arial"/>
                <w:sz w:val="25"/>
                <w:szCs w:val="25"/>
                <w:color w:val="auto"/>
                <w:vertAlign w:val="superscript"/>
              </w:rPr>
              <w:t>(7)</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1,094,730</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60,740</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1,155,470</w:t>
            </w:r>
          </w:p>
        </w:tc>
      </w:tr>
      <w:tr>
        <w:trPr>
          <w:trHeight w:val="223"/>
        </w:trPr>
        <w:tc>
          <w:tcPr>
            <w:tcW w:w="4300" w:type="dxa"/>
            <w:vAlign w:val="bottom"/>
            <w:tcBorders>
              <w:bottom w:val="single" w:sz="8" w:color="BCBEC0"/>
            </w:tcBorders>
          </w:tcPr>
          <w:p>
            <w:pPr>
              <w:ind w:left="60"/>
              <w:spacing w:after="0" w:line="223" w:lineRule="exact"/>
              <w:rPr>
                <w:sz w:val="20"/>
                <w:szCs w:val="20"/>
                <w:color w:val="auto"/>
              </w:rPr>
            </w:pPr>
            <w:r>
              <w:rPr>
                <w:rFonts w:ascii="Arial" w:cs="Arial" w:eastAsia="Arial" w:hAnsi="Arial"/>
                <w:sz w:val="16"/>
                <w:szCs w:val="16"/>
                <w:color w:val="auto"/>
              </w:rPr>
              <w:t>Change in Control and Involuntary Termination</w:t>
            </w:r>
            <w:r>
              <w:rPr>
                <w:rFonts w:ascii="Arial" w:cs="Arial" w:eastAsia="Arial" w:hAnsi="Arial"/>
                <w:sz w:val="25"/>
                <w:szCs w:val="25"/>
                <w:color w:val="auto"/>
                <w:vertAlign w:val="superscript"/>
              </w:rPr>
              <w:t>(9),(10),(11)</w:t>
            </w:r>
          </w:p>
        </w:tc>
        <w:tc>
          <w:tcPr>
            <w:tcW w:w="130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1,280,618</w:t>
            </w:r>
          </w:p>
        </w:tc>
        <w:tc>
          <w:tcPr>
            <w:tcW w:w="216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3,877,350</w:t>
            </w:r>
          </w:p>
        </w:tc>
        <w:tc>
          <w:tcPr>
            <w:tcW w:w="118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39"/>
              <w:spacing w:after="0"/>
              <w:rPr>
                <w:sz w:val="20"/>
                <w:szCs w:val="20"/>
                <w:color w:val="auto"/>
              </w:rPr>
            </w:pPr>
            <w:r>
              <w:rPr>
                <w:rFonts w:ascii="Arial" w:cs="Arial" w:eastAsia="Arial" w:hAnsi="Arial"/>
                <w:sz w:val="16"/>
                <w:szCs w:val="16"/>
                <w:color w:val="auto"/>
              </w:rPr>
              <w:t>71,328</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5,229,296</w:t>
            </w:r>
          </w:p>
        </w:tc>
      </w:tr>
    </w:tbl>
    <w:p>
      <w:pPr>
        <w:spacing w:after="0" w:line="47" w:lineRule="exact"/>
        <w:rPr>
          <w:sz w:val="20"/>
          <w:szCs w:val="20"/>
          <w:color w:val="auto"/>
        </w:rPr>
      </w:pPr>
    </w:p>
    <w:p>
      <w:pPr>
        <w:ind w:left="340" w:hanging="332"/>
        <w:spacing w:after="0" w:line="192" w:lineRule="auto"/>
        <w:tabs>
          <w:tab w:leader="none" w:pos="340" w:val="left"/>
        </w:tabs>
        <w:numPr>
          <w:ilvl w:val="0"/>
          <w:numId w:val="81"/>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Severance column reflect base salary entitlements under the Senior Severance Policy and base salary and bonus entitlements under each NEO’s CIC Agreement. In addition, Severance includes a pro rata portion of the NEO’s target bonus through the date of termination.</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jc w:val="both"/>
        <w:ind w:left="340" w:hanging="332"/>
        <w:spacing w:after="0" w:line="218"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Equity Awards with Accelerated Vesting column reflect the value realized by the NEO upon the exercise of all unvested SARs and the vesting of all unvested RS and PS that would vest upon death, disability, or a qualifying change in control. Upon a change in control, if the unvested RS and SARs are assumed by the acquirer and an NEO is terminated without cause within two years of such change in control, such awards will become fully vested prior to the date of termination. If the NEO is not terminated without cause within one year of the change in control, such equity awards will not accelerate. Treatment of unvested PS upon a change in control is subject to the discretion of the Compensation Committee.</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line="199"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For Messrs. Bakker, Sperry, and Mikes, who meet the definition of retirement eligibility, the amounts shown reflect the value realized upon the vesting of all unvested restricted shares upon retirement. No other NEO will be retirement-eligible during the open vesting period of outstanding equity awards. The value realized is calculated using the closing market price of Hubbell common stock on December 31, 2025, the last business day of 2025, of $444.11. The amounts shown do not include the value of</w:t>
      </w:r>
    </w:p>
    <w:p>
      <w:pPr>
        <w:spacing w:after="0" w:line="2" w:lineRule="exact"/>
        <w:rPr>
          <w:rFonts w:ascii="Arial" w:cs="Arial" w:eastAsia="Arial" w:hAnsi="Arial"/>
          <w:sz w:val="24"/>
          <w:szCs w:val="24"/>
          <w:i w:val="1"/>
          <w:iCs w:val="1"/>
          <w:color w:val="auto"/>
          <w:vertAlign w:val="superscript"/>
        </w:rPr>
      </w:pPr>
    </w:p>
    <w:p>
      <w:pPr>
        <w:jc w:val="both"/>
        <w:ind w:left="340"/>
        <w:spacing w:after="0" w:line="252" w:lineRule="auto"/>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 SARs that are unvested at retirement, but become exercisable post-retirement, or (ii) outstanding performance shares at retirement, which may vest on a pro-rated basis at the end of the applicable performance period, because in each case the value would not be determinable as of the last day of the calendar year as the shares would not have vested on such date.</w:t>
      </w:r>
    </w:p>
    <w:p>
      <w:pPr>
        <w:spacing w:after="0" w:line="20" w:lineRule="exact"/>
        <w:rPr>
          <w:rFonts w:ascii="Arial" w:cs="Arial" w:eastAsia="Arial" w:hAnsi="Arial"/>
          <w:sz w:val="24"/>
          <w:szCs w:val="24"/>
          <w:i w:val="1"/>
          <w:iCs w:val="1"/>
          <w:color w:val="auto"/>
          <w:vertAlign w:val="superscript"/>
        </w:rPr>
      </w:pPr>
    </w:p>
    <w:p>
      <w:pPr>
        <w:jc w:val="both"/>
        <w:ind w:left="340" w:hanging="332"/>
        <w:spacing w:after="0" w:line="218"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Pension Benefits column include amounts payable under the Company’s qualified and nonqualified pension plans and nonqualified deferred compensation plans only to the extent the amounts are not described in the Pension Benefit Calculations section discussed above on page 64 or the Non-Qualified Deferred Compensation section discussed on page 65. In the event of a Change in Control, even without termination of employment, EDCP distributions will be paid in a lump sum, but no additional value is allocated to the payment in this table. The value listed represents the present value of the payments under the EDCP in the Non-Qualified Deferred Compensation section discussed above on page 65.</w:t>
      </w:r>
    </w:p>
    <w:p>
      <w:pPr>
        <w:spacing w:after="0" w:line="28"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Welfare Benefits column include the payment of outplacement services for the NEOs for up to twelve months and insurance benefit continuation calculated in accordance with the terms of the Senior Severance Policy and CIC Agreements, as applicable.</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“Disability” rows are calculated based on a 5.5% discount rate and using the PRI-2012 Disabled Annuitant Mortality Tables, with generational projection from 2012 using Scale MP-2021. In the event of disability, the incremental retirement plan benefit was calculated by comparing the disability benefit to the vested accrued benefit under the qualified and non-qualified plans as of December 31, 2025.</w:t>
      </w:r>
    </w:p>
    <w:p>
      <w:pPr>
        <w:spacing w:after="0" w:line="29" w:lineRule="exact"/>
        <w:rPr>
          <w:rFonts w:ascii="Arial" w:cs="Arial" w:eastAsia="Arial" w:hAnsi="Arial"/>
          <w:sz w:val="24"/>
          <w:szCs w:val="24"/>
          <w:i w:val="1"/>
          <w:iCs w:val="1"/>
          <w:color w:val="auto"/>
          <w:vertAlign w:val="superscript"/>
        </w:rPr>
      </w:pPr>
    </w:p>
    <w:p>
      <w:pPr>
        <w:ind w:left="340" w:right="20" w:hanging="332"/>
        <w:spacing w:after="0" w:line="192"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“Involuntary Termination,” for purposes of this row, refers to a termination by the Company without cause as described in the Senior Severance Policy prior to the occurrence of a Change in Control. NEOs are not entitled to these benefits in the event of a termination for cause, death, or disability.</w:t>
      </w:r>
    </w:p>
    <w:p>
      <w:pPr>
        <w:spacing w:after="0" w:line="28"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“Retirement,” for purposes of this row, refers to a voluntary termination by the NEO (after age 55 and 15 years of service). In addition to the amounts described in this chart, the NEO will be entitled to payout of the amounts described under the Pension Benefit Calculations section discussed on page 64.</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line="213"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amounts reported in the Severance column for Change in Control and Involuntary Termination are equal to the product of (a) a multiple specified in each NEO’s CIC Agreement and (b) the sum of (x) the NEO’s base salary and (y) the target bonus payable to the NEO in the year which the change in control occurs. The specified multiple may be reduced pursuant to the CIC Agreements, as discussed further in the “Change in Control Severance Agreements” section above. In addition, Severance includes a pro rata portion of the NEO’s target bonus through the date of termination.</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“Change in Control and Involuntary Termination,” for purposes of this row, refers to a termination by the Company without cause (as defined in the CIC Agreement) or by the NEO for good reason (as defined in the CIC Agreement) within 2 years following a change in control (as defined in the CIC Agreement). As noted above, the amounts payable include a lump sum payment of the NEO’s base salary multiplied by 2.5 for Messrs. Bakker and Sperry and 2.0 for Messrs. Mikes and Gumbs, and Ms. Lane.</w:t>
      </w:r>
    </w:p>
    <w:p>
      <w:pPr>
        <w:spacing w:after="0" w:line="29"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82"/>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No benefits are automatically payable to the NEOs upon a change in control (as defined in the Equity Plan) due to their unvested RS and SARs until and unless the NEO experiences a qualifying termination related to such change in control. This row assumes such a qualifying termination (a termination by the Company without cause) occurs within 12 months following a change in control. Treatment of unvested PS upon a change in control is subject to the discretion of the Compensation Committee.</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70</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CEO Pay Ratio</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The SEC requires annual disclosure of the ratio of the CEO’s annual total compensation to the annual total compensation of the Company’s median employee.</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Mr. Bakker had 2025 annual total compensation of $10,346,752 as reflected in the “Total” column reported in the Summary Compensation Table on page 57.</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Hubbell’s median employee’s annual total compensation for 2025, as described more fully below, was estimated as $64,210. As a result, we estimate that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Mr. Bakker’s annual compensation was approximately 161 times that of Hubbell’s median employee.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There have not been any significant changes to our employee base, our compensation program or our median employee’s situation that would significantly affect our pay ratio disclosure. Accordingly, as permitted by SEC rules, we calculated the 2025 pay ratio using the same median employee we used for purposes of calculating our 2024 pay ratio. What follows is a description of the methodology used from 2024. Pursuant to Instruction 7 to Item 402(u), Hubbell is omitting from its pay ratio calculation those employees that became employees of the Company in 2025 as a result of the Alliance USAcqCo 2, Inc. (“Ventev”), Nicor, Inc., and Power Rose Acquisition, Inc. (“Power Rose” and together with its subsidiaries, “DMC Power”) acquisitions which aggregated to 457 of Hubbell’s approximately 18,000 employees as of December 31, 2025.</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2024, we identified the median of the annual total compensation of all our employees by examining the 2024 annual salary for all employees, excluding the CEO, who were employed by us on November 15, 2024, as reflected in our payroll records as reported to the Internal Revenue Service on Form W-2 for 2024, as well as our payroll records for all non-U.S. entities. We selected November 15, 2024, because it enabled us to make such identification in a reasonably efficient and economical manner. We did not make any assumptions, adjustments, or estimates with respect to this compensation measure and we did not annualize the compensation for any full-time employees who were not employed by Hubbell for all of 2024.</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We calculated annual total compensation for 2025 for such employee in accordance with SEC rules using the same employee as identified for 2024.</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SEC rules permit companies to rely on a range of estimates, assumptions, adjustments, and statistical sampling when preparing their pay ratio disclosures. As a result, these disclosures involve a degree of imprecision. Our pay ratio is merely a reasonable estimate calculated in a manner consistent with SEC rules, and it may not be comparable to the pay ratio disclosures of other companies.</w:t>
      </w:r>
    </w:p>
    <w:p>
      <w:pPr>
        <w:spacing w:after="0" w:line="144"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Pay Versus Performance</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table provides information about the relationship between the compensation paid to Hubbell’s executives and the Company’s financial performance.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1520" w:type="dxa"/>
            <w:vAlign w:val="bottom"/>
            <w:tcBorders>
              <w:top w:val="single" w:sz="8" w:color="FFE933"/>
            </w:tcBorders>
            <w:shd w:val="clear" w:color="auto" w:fill="F1F2F2"/>
          </w:tcPr>
          <w:p>
            <w:pPr>
              <w:spacing w:after="0"/>
              <w:rPr>
                <w:sz w:val="23"/>
                <w:szCs w:val="23"/>
                <w:color w:val="auto"/>
              </w:rPr>
            </w:pPr>
          </w:p>
        </w:tc>
        <w:tc>
          <w:tcPr>
            <w:tcW w:w="1380" w:type="dxa"/>
            <w:vAlign w:val="bottom"/>
            <w:tcBorders>
              <w:top w:val="single" w:sz="8" w:color="FFE933"/>
            </w:tcBorders>
            <w:shd w:val="clear" w:color="auto" w:fill="F1F2F2"/>
          </w:tcPr>
          <w:p>
            <w:pPr>
              <w:spacing w:after="0"/>
              <w:rPr>
                <w:sz w:val="23"/>
                <w:szCs w:val="23"/>
                <w:color w:val="auto"/>
              </w:rPr>
            </w:pPr>
          </w:p>
        </w:tc>
        <w:tc>
          <w:tcPr>
            <w:tcW w:w="1380" w:type="dxa"/>
            <w:vAlign w:val="bottom"/>
            <w:tcBorders>
              <w:top w:val="single" w:sz="8" w:color="FFE933"/>
            </w:tcBorders>
            <w:shd w:val="clear" w:color="auto" w:fill="F1F2F2"/>
          </w:tcPr>
          <w:p>
            <w:pPr>
              <w:spacing w:after="0"/>
              <w:rPr>
                <w:sz w:val="23"/>
                <w:szCs w:val="23"/>
                <w:color w:val="auto"/>
              </w:rPr>
            </w:pPr>
          </w:p>
        </w:tc>
        <w:tc>
          <w:tcPr>
            <w:tcW w:w="1220" w:type="dxa"/>
            <w:vAlign w:val="bottom"/>
            <w:tcBorders>
              <w:top w:val="single" w:sz="8" w:color="FFE933"/>
            </w:tcBorders>
            <w:shd w:val="clear" w:color="auto" w:fill="F1F2F2"/>
          </w:tcPr>
          <w:p>
            <w:pPr>
              <w:jc w:val="right"/>
              <w:ind w:right="22"/>
              <w:spacing w:after="0"/>
              <w:rPr>
                <w:sz w:val="20"/>
                <w:szCs w:val="20"/>
                <w:color w:val="auto"/>
              </w:rPr>
            </w:pPr>
            <w:r>
              <w:rPr>
                <w:rFonts w:ascii="Arial" w:cs="Arial" w:eastAsia="Arial" w:hAnsi="Arial"/>
                <w:sz w:val="16"/>
                <w:szCs w:val="16"/>
                <w:b w:val="1"/>
                <w:bCs w:val="1"/>
                <w:color w:val="auto"/>
              </w:rPr>
              <w:t>Average</w:t>
            </w:r>
          </w:p>
        </w:tc>
        <w:tc>
          <w:tcPr>
            <w:tcW w:w="1300" w:type="dxa"/>
            <w:vAlign w:val="bottom"/>
            <w:tcBorders>
              <w:top w:val="single" w:sz="8" w:color="FFE933"/>
            </w:tcBorders>
            <w:shd w:val="clear" w:color="auto" w:fill="F1F2F2"/>
          </w:tcPr>
          <w:p>
            <w:pPr>
              <w:spacing w:after="0"/>
              <w:rPr>
                <w:sz w:val="23"/>
                <w:szCs w:val="23"/>
                <w:color w:val="auto"/>
              </w:rPr>
            </w:pPr>
          </w:p>
        </w:tc>
        <w:tc>
          <w:tcPr>
            <w:tcW w:w="160" w:type="dxa"/>
            <w:vAlign w:val="bottom"/>
            <w:tcBorders>
              <w:top w:val="single" w:sz="8" w:color="FFE933"/>
            </w:tcBorders>
            <w:shd w:val="clear" w:color="auto" w:fill="F1F2F2"/>
          </w:tcPr>
          <w:p>
            <w:pPr>
              <w:spacing w:after="0"/>
              <w:rPr>
                <w:sz w:val="23"/>
                <w:szCs w:val="23"/>
                <w:color w:val="auto"/>
              </w:rPr>
            </w:pPr>
          </w:p>
        </w:tc>
        <w:tc>
          <w:tcPr>
            <w:tcW w:w="1040" w:type="dxa"/>
            <w:vAlign w:val="bottom"/>
            <w:tcBorders>
              <w:top w:val="single" w:sz="8" w:color="FFE933"/>
            </w:tcBorders>
            <w:shd w:val="clear" w:color="auto" w:fill="F1F2F2"/>
          </w:tcPr>
          <w:p>
            <w:pPr>
              <w:spacing w:after="0"/>
              <w:rPr>
                <w:sz w:val="23"/>
                <w:szCs w:val="23"/>
                <w:color w:val="auto"/>
              </w:rPr>
            </w:pPr>
          </w:p>
        </w:tc>
        <w:tc>
          <w:tcPr>
            <w:tcW w:w="1040" w:type="dxa"/>
            <w:vAlign w:val="bottom"/>
            <w:tcBorders>
              <w:top w:val="single" w:sz="8" w:color="FFE933"/>
            </w:tcBorders>
            <w:shd w:val="clear" w:color="auto" w:fill="F1F2F2"/>
          </w:tcPr>
          <w:p>
            <w:pPr>
              <w:spacing w:after="0"/>
              <w:rPr>
                <w:sz w:val="23"/>
                <w:szCs w:val="23"/>
                <w:color w:val="auto"/>
              </w:rPr>
            </w:pPr>
          </w:p>
        </w:tc>
        <w:tc>
          <w:tcPr>
            <w:tcW w:w="80" w:type="dxa"/>
            <w:vAlign w:val="bottom"/>
            <w:tcBorders>
              <w:top w:val="single" w:sz="8" w:color="FFE933"/>
            </w:tcBorders>
            <w:shd w:val="clear" w:color="auto" w:fill="F1F2F2"/>
          </w:tcPr>
          <w:p>
            <w:pPr>
              <w:spacing w:after="0"/>
              <w:rPr>
                <w:sz w:val="23"/>
                <w:szCs w:val="23"/>
                <w:color w:val="auto"/>
              </w:rPr>
            </w:pPr>
          </w:p>
        </w:tc>
        <w:tc>
          <w:tcPr>
            <w:tcW w:w="1240" w:type="dxa"/>
            <w:vAlign w:val="bottom"/>
            <w:tcBorders>
              <w:top w:val="single" w:sz="8" w:color="FFE933"/>
            </w:tcBorders>
            <w:shd w:val="clear" w:color="auto" w:fill="F1F2F2"/>
          </w:tcPr>
          <w:p>
            <w:pPr>
              <w:spacing w:after="0"/>
              <w:rPr>
                <w:sz w:val="23"/>
                <w:szCs w:val="23"/>
                <w:color w:val="auto"/>
              </w:rPr>
            </w:pPr>
          </w:p>
        </w:tc>
        <w:tc>
          <w:tcPr>
            <w:tcW w:w="880" w:type="dxa"/>
            <w:vAlign w:val="bottom"/>
            <w:tcBorders>
              <w:top w:val="single" w:sz="8" w:color="FFE933"/>
            </w:tcBorders>
            <w:shd w:val="clear" w:color="auto" w:fill="F1F2F2"/>
          </w:tcPr>
          <w:p>
            <w:pPr>
              <w:spacing w:after="0"/>
              <w:rPr>
                <w:sz w:val="23"/>
                <w:szCs w:val="23"/>
                <w:color w:val="auto"/>
              </w:rPr>
            </w:pPr>
          </w:p>
        </w:tc>
      </w:tr>
      <w:tr>
        <w:trPr>
          <w:trHeight w:val="190"/>
        </w:trPr>
        <w:tc>
          <w:tcPr>
            <w:tcW w:w="1520" w:type="dxa"/>
            <w:vAlign w:val="bottom"/>
            <w:shd w:val="clear" w:color="auto" w:fill="F1F2F2"/>
          </w:tcPr>
          <w:p>
            <w:pPr>
              <w:spacing w:after="0"/>
              <w:rPr>
                <w:sz w:val="16"/>
                <w:szCs w:val="16"/>
                <w:color w:val="auto"/>
              </w:rPr>
            </w:pPr>
          </w:p>
        </w:tc>
        <w:tc>
          <w:tcPr>
            <w:tcW w:w="1380" w:type="dxa"/>
            <w:vAlign w:val="bottom"/>
            <w:shd w:val="clear" w:color="auto" w:fill="F1F2F2"/>
          </w:tcPr>
          <w:p>
            <w:pPr>
              <w:spacing w:after="0"/>
              <w:rPr>
                <w:sz w:val="16"/>
                <w:szCs w:val="16"/>
                <w:color w:val="auto"/>
              </w:rPr>
            </w:pPr>
          </w:p>
        </w:tc>
        <w:tc>
          <w:tcPr>
            <w:tcW w:w="1380" w:type="dxa"/>
            <w:vAlign w:val="bottom"/>
            <w:shd w:val="clear" w:color="auto" w:fill="F1F2F2"/>
          </w:tcPr>
          <w:p>
            <w:pPr>
              <w:spacing w:after="0"/>
              <w:rPr>
                <w:sz w:val="16"/>
                <w:szCs w:val="16"/>
                <w:color w:val="auto"/>
              </w:rPr>
            </w:pPr>
          </w:p>
        </w:tc>
        <w:tc>
          <w:tcPr>
            <w:tcW w:w="1220" w:type="dxa"/>
            <w:vAlign w:val="bottom"/>
            <w:shd w:val="clear" w:color="auto" w:fill="F1F2F2"/>
          </w:tcPr>
          <w:p>
            <w:pPr>
              <w:jc w:val="right"/>
              <w:ind w:right="22"/>
              <w:spacing w:after="0"/>
              <w:rPr>
                <w:sz w:val="20"/>
                <w:szCs w:val="20"/>
                <w:color w:val="auto"/>
              </w:rPr>
            </w:pPr>
            <w:r>
              <w:rPr>
                <w:rFonts w:ascii="Arial" w:cs="Arial" w:eastAsia="Arial" w:hAnsi="Arial"/>
                <w:sz w:val="16"/>
                <w:szCs w:val="16"/>
                <w:b w:val="1"/>
                <w:bCs w:val="1"/>
                <w:color w:val="auto"/>
              </w:rPr>
              <w:t>Summary</w:t>
            </w:r>
          </w:p>
        </w:tc>
        <w:tc>
          <w:tcPr>
            <w:tcW w:w="130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Average</w:t>
            </w:r>
          </w:p>
        </w:tc>
        <w:tc>
          <w:tcPr>
            <w:tcW w:w="160" w:type="dxa"/>
            <w:vAlign w:val="bottom"/>
            <w:shd w:val="clear" w:color="auto" w:fill="F1F2F2"/>
          </w:tcPr>
          <w:p>
            <w:pPr>
              <w:spacing w:after="0"/>
              <w:rPr>
                <w:sz w:val="16"/>
                <w:szCs w:val="16"/>
                <w:color w:val="auto"/>
              </w:rPr>
            </w:pPr>
          </w:p>
        </w:tc>
        <w:tc>
          <w:tcPr>
            <w:tcW w:w="2160" w:type="dxa"/>
            <w:vAlign w:val="bottom"/>
            <w:gridSpan w:val="3"/>
            <w:shd w:val="clear" w:color="auto" w:fill="F1F2F2"/>
          </w:tcPr>
          <w:p>
            <w:pPr>
              <w:jc w:val="center"/>
              <w:ind w:right="80"/>
              <w:spacing w:after="0"/>
              <w:rPr>
                <w:sz w:val="20"/>
                <w:szCs w:val="20"/>
                <w:color w:val="auto"/>
              </w:rPr>
            </w:pPr>
            <w:r>
              <w:rPr>
                <w:rFonts w:ascii="Arial" w:cs="Arial" w:eastAsia="Arial" w:hAnsi="Arial"/>
                <w:sz w:val="16"/>
                <w:szCs w:val="16"/>
                <w:b w:val="1"/>
                <w:bCs w:val="1"/>
                <w:color w:val="auto"/>
              </w:rPr>
              <w:t>Value of Initial Fixed $100</w:t>
            </w:r>
          </w:p>
        </w:tc>
        <w:tc>
          <w:tcPr>
            <w:tcW w:w="1240" w:type="dxa"/>
            <w:vAlign w:val="bottom"/>
            <w:shd w:val="clear" w:color="auto" w:fill="F1F2F2"/>
          </w:tcPr>
          <w:p>
            <w:pPr>
              <w:spacing w:after="0"/>
              <w:rPr>
                <w:sz w:val="16"/>
                <w:szCs w:val="16"/>
                <w:color w:val="auto"/>
              </w:rPr>
            </w:pPr>
          </w:p>
        </w:tc>
        <w:tc>
          <w:tcPr>
            <w:tcW w:w="880" w:type="dxa"/>
            <w:vAlign w:val="bottom"/>
            <w:shd w:val="clear" w:color="auto" w:fill="F1F2F2"/>
          </w:tcPr>
          <w:p>
            <w:pPr>
              <w:spacing w:after="0"/>
              <w:rPr>
                <w:sz w:val="16"/>
                <w:szCs w:val="16"/>
                <w:color w:val="auto"/>
              </w:rPr>
            </w:pPr>
          </w:p>
        </w:tc>
      </w:tr>
      <w:tr>
        <w:trPr>
          <w:trHeight w:val="282"/>
        </w:trPr>
        <w:tc>
          <w:tcPr>
            <w:tcW w:w="1520" w:type="dxa"/>
            <w:vAlign w:val="bottom"/>
            <w:tcBorders>
              <w:bottom w:val="single" w:sz="8" w:color="F1F2F2"/>
            </w:tcBorders>
            <w:shd w:val="clear" w:color="auto" w:fill="F1F2F2"/>
          </w:tcPr>
          <w:p>
            <w:pPr>
              <w:spacing w:after="0"/>
              <w:rPr>
                <w:sz w:val="24"/>
                <w:szCs w:val="24"/>
                <w:color w:val="auto"/>
              </w:rPr>
            </w:pPr>
          </w:p>
        </w:tc>
        <w:tc>
          <w:tcPr>
            <w:tcW w:w="1380" w:type="dxa"/>
            <w:vAlign w:val="bottom"/>
            <w:tcBorders>
              <w:bottom w:val="single" w:sz="8" w:color="F1F2F2"/>
            </w:tcBorders>
            <w:shd w:val="clear" w:color="auto" w:fill="F1F2F2"/>
          </w:tcPr>
          <w:p>
            <w:pPr>
              <w:spacing w:after="0"/>
              <w:rPr>
                <w:sz w:val="24"/>
                <w:szCs w:val="24"/>
                <w:color w:val="auto"/>
              </w:rPr>
            </w:pPr>
          </w:p>
        </w:tc>
        <w:tc>
          <w:tcPr>
            <w:tcW w:w="1380" w:type="dxa"/>
            <w:vAlign w:val="bottom"/>
            <w:tcBorders>
              <w:bottom w:val="single" w:sz="8" w:color="F1F2F2"/>
            </w:tcBorders>
            <w:shd w:val="clear" w:color="auto" w:fill="F1F2F2"/>
          </w:tcPr>
          <w:p>
            <w:pPr>
              <w:spacing w:after="0"/>
              <w:rPr>
                <w:sz w:val="24"/>
                <w:szCs w:val="24"/>
                <w:color w:val="auto"/>
              </w:rPr>
            </w:pPr>
          </w:p>
        </w:tc>
        <w:tc>
          <w:tcPr>
            <w:tcW w:w="1220" w:type="dxa"/>
            <w:vAlign w:val="bottom"/>
            <w:tcBorders>
              <w:bottom w:val="single" w:sz="8" w:color="F1F2F2"/>
            </w:tcBorders>
            <w:shd w:val="clear" w:color="auto" w:fill="F1F2F2"/>
          </w:tcPr>
          <w:p>
            <w:pPr>
              <w:jc w:val="right"/>
              <w:ind w:right="22"/>
              <w:spacing w:after="0"/>
              <w:rPr>
                <w:sz w:val="20"/>
                <w:szCs w:val="20"/>
                <w:color w:val="auto"/>
              </w:rPr>
            </w:pPr>
            <w:r>
              <w:rPr>
                <w:rFonts w:ascii="Arial" w:cs="Arial" w:eastAsia="Arial" w:hAnsi="Arial"/>
                <w:sz w:val="16"/>
                <w:szCs w:val="16"/>
                <w:b w:val="1"/>
                <w:bCs w:val="1"/>
                <w:color w:val="auto"/>
                <w:w w:val="98"/>
              </w:rPr>
              <w:t>Compensation</w:t>
            </w:r>
          </w:p>
        </w:tc>
        <w:tc>
          <w:tcPr>
            <w:tcW w:w="1300" w:type="dxa"/>
            <w:vAlign w:val="bottom"/>
            <w:tcBorders>
              <w:bottom w:val="single" w:sz="8" w:color="F1F2F2"/>
            </w:tcBorders>
            <w:shd w:val="clear" w:color="auto" w:fill="F1F2F2"/>
          </w:tcPr>
          <w:p>
            <w:pPr>
              <w:jc w:val="right"/>
              <w:spacing w:after="0"/>
              <w:rPr>
                <w:sz w:val="20"/>
                <w:szCs w:val="20"/>
                <w:color w:val="auto"/>
              </w:rPr>
            </w:pPr>
            <w:r>
              <w:rPr>
                <w:rFonts w:ascii="Arial" w:cs="Arial" w:eastAsia="Arial" w:hAnsi="Arial"/>
                <w:sz w:val="16"/>
                <w:szCs w:val="16"/>
                <w:b w:val="1"/>
                <w:bCs w:val="1"/>
                <w:color w:val="auto"/>
              </w:rPr>
              <w:t>Compensation</w:t>
            </w:r>
          </w:p>
        </w:tc>
        <w:tc>
          <w:tcPr>
            <w:tcW w:w="160" w:type="dxa"/>
            <w:vAlign w:val="bottom"/>
            <w:tcBorders>
              <w:bottom w:val="single" w:sz="8" w:color="F1F2F2"/>
            </w:tcBorders>
            <w:shd w:val="clear" w:color="auto" w:fill="F1F2F2"/>
          </w:tcPr>
          <w:p>
            <w:pPr>
              <w:spacing w:after="0"/>
              <w:rPr>
                <w:sz w:val="24"/>
                <w:szCs w:val="24"/>
                <w:color w:val="auto"/>
              </w:rPr>
            </w:pPr>
          </w:p>
        </w:tc>
        <w:tc>
          <w:tcPr>
            <w:tcW w:w="2160" w:type="dxa"/>
            <w:vAlign w:val="bottom"/>
            <w:tcBorders>
              <w:bottom w:val="single" w:sz="8" w:color="F1F2F2"/>
            </w:tcBorders>
            <w:gridSpan w:val="3"/>
            <w:shd w:val="clear" w:color="auto" w:fill="F1F2F2"/>
          </w:tcPr>
          <w:p>
            <w:pPr>
              <w:jc w:val="center"/>
              <w:ind w:right="80"/>
              <w:spacing w:after="0" w:line="230" w:lineRule="exact"/>
              <w:rPr>
                <w:sz w:val="20"/>
                <w:szCs w:val="20"/>
                <w:color w:val="auto"/>
              </w:rPr>
            </w:pPr>
            <w:r>
              <w:rPr>
                <w:rFonts w:ascii="Arial" w:cs="Arial" w:eastAsia="Arial" w:hAnsi="Arial"/>
                <w:sz w:val="16"/>
                <w:szCs w:val="16"/>
                <w:b w:val="1"/>
                <w:bCs w:val="1"/>
                <w:color w:val="auto"/>
                <w:w w:val="98"/>
              </w:rPr>
              <w:t>Investment Based on:</w:t>
            </w:r>
            <w:r>
              <w:rPr>
                <w:rFonts w:ascii="Arial" w:cs="Arial" w:eastAsia="Arial" w:hAnsi="Arial"/>
                <w:sz w:val="26"/>
                <w:szCs w:val="26"/>
                <w:b w:val="1"/>
                <w:bCs w:val="1"/>
                <w:color w:val="auto"/>
                <w:w w:val="98"/>
                <w:vertAlign w:val="superscript"/>
              </w:rPr>
              <w:t>(3)</w:t>
            </w:r>
          </w:p>
        </w:tc>
        <w:tc>
          <w:tcPr>
            <w:tcW w:w="1240" w:type="dxa"/>
            <w:vAlign w:val="bottom"/>
            <w:tcBorders>
              <w:bottom w:val="single" w:sz="8" w:color="F1F2F2"/>
            </w:tcBorders>
            <w:shd w:val="clear" w:color="auto" w:fill="F1F2F2"/>
          </w:tcPr>
          <w:p>
            <w:pPr>
              <w:spacing w:after="0"/>
              <w:rPr>
                <w:sz w:val="24"/>
                <w:szCs w:val="24"/>
                <w:color w:val="auto"/>
              </w:rPr>
            </w:pPr>
          </w:p>
        </w:tc>
        <w:tc>
          <w:tcPr>
            <w:tcW w:w="880" w:type="dxa"/>
            <w:vAlign w:val="bottom"/>
            <w:tcBorders>
              <w:bottom w:val="single" w:sz="8" w:color="F1F2F2"/>
            </w:tcBorders>
            <w:shd w:val="clear" w:color="auto" w:fill="F1F2F2"/>
          </w:tcPr>
          <w:p>
            <w:pPr>
              <w:spacing w:after="0"/>
              <w:rPr>
                <w:sz w:val="24"/>
                <w:szCs w:val="24"/>
                <w:color w:val="auto"/>
              </w:rPr>
            </w:pPr>
          </w:p>
        </w:tc>
      </w:tr>
      <w:tr>
        <w:trPr>
          <w:trHeight w:val="80"/>
        </w:trPr>
        <w:tc>
          <w:tcPr>
            <w:tcW w:w="1520" w:type="dxa"/>
            <w:vAlign w:val="bottom"/>
            <w:tcBorders>
              <w:top w:val="single" w:sz="8" w:color="F1F2F2"/>
            </w:tcBorders>
            <w:shd w:val="clear" w:color="auto" w:fill="F1F2F2"/>
          </w:tcPr>
          <w:p>
            <w:pPr>
              <w:spacing w:after="0"/>
              <w:rPr>
                <w:sz w:val="6"/>
                <w:szCs w:val="6"/>
                <w:color w:val="auto"/>
              </w:rPr>
            </w:pPr>
          </w:p>
        </w:tc>
        <w:tc>
          <w:tcPr>
            <w:tcW w:w="1380" w:type="dxa"/>
            <w:vAlign w:val="bottom"/>
            <w:tcBorders>
              <w:top w:val="single" w:sz="8" w:color="F1F2F2"/>
            </w:tcBorders>
            <w:shd w:val="clear" w:color="auto" w:fill="F1F2F2"/>
          </w:tcPr>
          <w:p>
            <w:pPr>
              <w:spacing w:after="0"/>
              <w:rPr>
                <w:sz w:val="6"/>
                <w:szCs w:val="6"/>
                <w:color w:val="auto"/>
              </w:rPr>
            </w:pPr>
          </w:p>
        </w:tc>
        <w:tc>
          <w:tcPr>
            <w:tcW w:w="1380" w:type="dxa"/>
            <w:vAlign w:val="bottom"/>
            <w:tcBorders>
              <w:top w:val="single" w:sz="8" w:color="F1F2F2"/>
            </w:tcBorders>
            <w:shd w:val="clear" w:color="auto" w:fill="F1F2F2"/>
          </w:tcPr>
          <w:p>
            <w:pPr>
              <w:spacing w:after="0"/>
              <w:rPr>
                <w:sz w:val="6"/>
                <w:szCs w:val="6"/>
                <w:color w:val="auto"/>
              </w:rPr>
            </w:pPr>
          </w:p>
        </w:tc>
        <w:tc>
          <w:tcPr>
            <w:tcW w:w="1220" w:type="dxa"/>
            <w:vAlign w:val="bottom"/>
            <w:tcBorders>
              <w:top w:val="single" w:sz="8" w:color="F1F2F2"/>
            </w:tcBorders>
            <w:shd w:val="clear" w:color="auto" w:fill="F1F2F2"/>
          </w:tcPr>
          <w:p>
            <w:pPr>
              <w:jc w:val="right"/>
              <w:ind w:right="22"/>
              <w:spacing w:after="0" w:line="81" w:lineRule="exact"/>
              <w:rPr>
                <w:sz w:val="20"/>
                <w:szCs w:val="20"/>
                <w:color w:val="auto"/>
              </w:rPr>
            </w:pPr>
            <w:r>
              <w:rPr>
                <w:rFonts w:ascii="Arial" w:cs="Arial" w:eastAsia="Arial" w:hAnsi="Arial"/>
                <w:sz w:val="9"/>
                <w:szCs w:val="9"/>
                <w:b w:val="1"/>
                <w:bCs w:val="1"/>
                <w:color w:val="auto"/>
              </w:rPr>
              <w:t>Table Total for</w:t>
            </w:r>
          </w:p>
        </w:tc>
        <w:tc>
          <w:tcPr>
            <w:tcW w:w="1300" w:type="dxa"/>
            <w:vAlign w:val="bottom"/>
            <w:tcBorders>
              <w:top w:val="single" w:sz="8" w:color="F1F2F2"/>
            </w:tcBorders>
            <w:shd w:val="clear" w:color="auto" w:fill="F1F2F2"/>
          </w:tcPr>
          <w:p>
            <w:pPr>
              <w:jc w:val="right"/>
              <w:spacing w:after="0" w:line="81" w:lineRule="exact"/>
              <w:rPr>
                <w:sz w:val="20"/>
                <w:szCs w:val="20"/>
                <w:color w:val="auto"/>
              </w:rPr>
            </w:pPr>
            <w:r>
              <w:rPr>
                <w:rFonts w:ascii="Arial" w:cs="Arial" w:eastAsia="Arial" w:hAnsi="Arial"/>
                <w:sz w:val="9"/>
                <w:szCs w:val="9"/>
                <w:b w:val="1"/>
                <w:bCs w:val="1"/>
                <w:color w:val="auto"/>
              </w:rPr>
              <w:t>Actually Paid to</w:t>
            </w:r>
          </w:p>
        </w:tc>
        <w:tc>
          <w:tcPr>
            <w:tcW w:w="160" w:type="dxa"/>
            <w:vAlign w:val="bottom"/>
            <w:tcBorders>
              <w:top w:val="single" w:sz="8" w:color="F1F2F2"/>
            </w:tcBorders>
            <w:shd w:val="clear" w:color="auto" w:fill="F1F2F2"/>
          </w:tcPr>
          <w:p>
            <w:pPr>
              <w:spacing w:after="0"/>
              <w:rPr>
                <w:sz w:val="6"/>
                <w:szCs w:val="6"/>
                <w:color w:val="auto"/>
              </w:rPr>
            </w:pPr>
          </w:p>
        </w:tc>
        <w:tc>
          <w:tcPr>
            <w:tcW w:w="1040" w:type="dxa"/>
            <w:vAlign w:val="bottom"/>
            <w:tcBorders>
              <w:top w:val="single" w:sz="8" w:color="FFE933"/>
            </w:tcBorders>
            <w:shd w:val="clear" w:color="auto" w:fill="F1F2F2"/>
          </w:tcPr>
          <w:p>
            <w:pPr>
              <w:spacing w:after="0"/>
              <w:rPr>
                <w:sz w:val="6"/>
                <w:szCs w:val="6"/>
                <w:color w:val="auto"/>
              </w:rPr>
            </w:pPr>
          </w:p>
        </w:tc>
        <w:tc>
          <w:tcPr>
            <w:tcW w:w="1040" w:type="dxa"/>
            <w:vAlign w:val="bottom"/>
            <w:tcBorders>
              <w:top w:val="single" w:sz="8" w:color="FFE933"/>
            </w:tcBorders>
            <w:shd w:val="clear" w:color="auto" w:fill="F1F2F2"/>
          </w:tcPr>
          <w:p>
            <w:pPr>
              <w:spacing w:after="0"/>
              <w:rPr>
                <w:sz w:val="6"/>
                <w:szCs w:val="6"/>
                <w:color w:val="auto"/>
              </w:rPr>
            </w:pPr>
          </w:p>
        </w:tc>
        <w:tc>
          <w:tcPr>
            <w:tcW w:w="80" w:type="dxa"/>
            <w:vAlign w:val="bottom"/>
            <w:tcBorders>
              <w:top w:val="single" w:sz="8" w:color="F1F2F2"/>
            </w:tcBorders>
            <w:shd w:val="clear" w:color="auto" w:fill="F1F2F2"/>
          </w:tcPr>
          <w:p>
            <w:pPr>
              <w:spacing w:after="0"/>
              <w:rPr>
                <w:sz w:val="6"/>
                <w:szCs w:val="6"/>
                <w:color w:val="auto"/>
              </w:rPr>
            </w:pPr>
          </w:p>
        </w:tc>
        <w:tc>
          <w:tcPr>
            <w:tcW w:w="1240" w:type="dxa"/>
            <w:vAlign w:val="bottom"/>
            <w:tcBorders>
              <w:top w:val="single" w:sz="8" w:color="F1F2F2"/>
            </w:tcBorders>
            <w:shd w:val="clear" w:color="auto" w:fill="F1F2F2"/>
          </w:tcPr>
          <w:p>
            <w:pPr>
              <w:spacing w:after="0"/>
              <w:rPr>
                <w:sz w:val="6"/>
                <w:szCs w:val="6"/>
                <w:color w:val="auto"/>
              </w:rPr>
            </w:pPr>
          </w:p>
        </w:tc>
        <w:tc>
          <w:tcPr>
            <w:tcW w:w="880" w:type="dxa"/>
            <w:vAlign w:val="bottom"/>
            <w:tcBorders>
              <w:top w:val="single" w:sz="8" w:color="F1F2F2"/>
            </w:tcBorders>
            <w:shd w:val="clear" w:color="auto" w:fill="F1F2F2"/>
          </w:tcPr>
          <w:p>
            <w:pPr>
              <w:spacing w:after="0"/>
              <w:rPr>
                <w:sz w:val="6"/>
                <w:szCs w:val="6"/>
                <w:color w:val="auto"/>
              </w:rPr>
            </w:pPr>
          </w:p>
        </w:tc>
      </w:tr>
      <w:tr>
        <w:trPr>
          <w:trHeight w:val="189"/>
        </w:trPr>
        <w:tc>
          <w:tcPr>
            <w:tcW w:w="1520" w:type="dxa"/>
            <w:vAlign w:val="bottom"/>
            <w:shd w:val="clear" w:color="auto" w:fill="F1F2F2"/>
          </w:tcPr>
          <w:p>
            <w:pPr>
              <w:spacing w:after="0"/>
              <w:rPr>
                <w:sz w:val="16"/>
                <w:szCs w:val="16"/>
                <w:color w:val="auto"/>
              </w:rPr>
            </w:pPr>
          </w:p>
        </w:tc>
        <w:tc>
          <w:tcPr>
            <w:tcW w:w="13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Summary</w:t>
            </w:r>
          </w:p>
        </w:tc>
        <w:tc>
          <w:tcPr>
            <w:tcW w:w="1380" w:type="dxa"/>
            <w:vAlign w:val="bottom"/>
            <w:shd w:val="clear" w:color="auto" w:fill="F1F2F2"/>
          </w:tcPr>
          <w:p>
            <w:pPr>
              <w:spacing w:after="0"/>
              <w:rPr>
                <w:sz w:val="16"/>
                <w:szCs w:val="16"/>
                <w:color w:val="auto"/>
              </w:rPr>
            </w:pPr>
          </w:p>
        </w:tc>
        <w:tc>
          <w:tcPr>
            <w:tcW w:w="1220" w:type="dxa"/>
            <w:vAlign w:val="bottom"/>
            <w:shd w:val="clear" w:color="auto" w:fill="F1F2F2"/>
          </w:tcPr>
          <w:p>
            <w:pPr>
              <w:jc w:val="right"/>
              <w:ind w:right="22"/>
              <w:spacing w:after="0"/>
              <w:rPr>
                <w:sz w:val="20"/>
                <w:szCs w:val="20"/>
                <w:color w:val="auto"/>
              </w:rPr>
            </w:pPr>
            <w:r>
              <w:rPr>
                <w:rFonts w:ascii="Arial" w:cs="Arial" w:eastAsia="Arial" w:hAnsi="Arial"/>
                <w:sz w:val="16"/>
                <w:szCs w:val="16"/>
                <w:b w:val="1"/>
                <w:bCs w:val="1"/>
                <w:color w:val="auto"/>
              </w:rPr>
              <w:t>Non-PEO</w:t>
            </w:r>
          </w:p>
        </w:tc>
        <w:tc>
          <w:tcPr>
            <w:tcW w:w="1460" w:type="dxa"/>
            <w:vAlign w:val="bottom"/>
            <w:gridSpan w:val="2"/>
            <w:shd w:val="clear" w:color="auto" w:fill="F1F2F2"/>
          </w:tcPr>
          <w:p>
            <w:pPr>
              <w:jc w:val="right"/>
              <w:ind w:right="160"/>
              <w:spacing w:after="0"/>
              <w:rPr>
                <w:sz w:val="20"/>
                <w:szCs w:val="20"/>
                <w:color w:val="auto"/>
              </w:rPr>
            </w:pPr>
            <w:r>
              <w:rPr>
                <w:rFonts w:ascii="Arial" w:cs="Arial" w:eastAsia="Arial" w:hAnsi="Arial"/>
                <w:sz w:val="16"/>
                <w:szCs w:val="16"/>
                <w:b w:val="1"/>
                <w:bCs w:val="1"/>
                <w:color w:val="auto"/>
              </w:rPr>
              <w:t>Non-PEO</w:t>
            </w:r>
          </w:p>
        </w:tc>
        <w:tc>
          <w:tcPr>
            <w:tcW w:w="1040" w:type="dxa"/>
            <w:vAlign w:val="bottom"/>
            <w:shd w:val="clear" w:color="auto" w:fill="F1F2F2"/>
          </w:tcPr>
          <w:p>
            <w:pPr>
              <w:spacing w:after="0"/>
              <w:rPr>
                <w:sz w:val="16"/>
                <w:szCs w:val="16"/>
                <w:color w:val="auto"/>
              </w:rPr>
            </w:pPr>
          </w:p>
        </w:tc>
        <w:tc>
          <w:tcPr>
            <w:tcW w:w="1120" w:type="dxa"/>
            <w:vAlign w:val="bottom"/>
            <w:gridSpan w:val="2"/>
            <w:shd w:val="clear" w:color="auto" w:fill="F1F2F2"/>
          </w:tcPr>
          <w:p>
            <w:pPr>
              <w:jc w:val="right"/>
              <w:ind w:right="80"/>
              <w:spacing w:after="0"/>
              <w:rPr>
                <w:sz w:val="20"/>
                <w:szCs w:val="20"/>
                <w:color w:val="auto"/>
              </w:rPr>
            </w:pPr>
            <w:r>
              <w:rPr>
                <w:rFonts w:ascii="Arial" w:cs="Arial" w:eastAsia="Arial" w:hAnsi="Arial"/>
                <w:sz w:val="16"/>
                <w:szCs w:val="16"/>
                <w:b w:val="1"/>
                <w:bCs w:val="1"/>
                <w:color w:val="auto"/>
              </w:rPr>
              <w:t>Peer Group</w:t>
            </w:r>
          </w:p>
        </w:tc>
        <w:tc>
          <w:tcPr>
            <w:tcW w:w="1240" w:type="dxa"/>
            <w:vAlign w:val="bottom"/>
            <w:shd w:val="clear" w:color="auto" w:fill="F1F2F2"/>
          </w:tcPr>
          <w:p>
            <w:pPr>
              <w:spacing w:after="0"/>
              <w:rPr>
                <w:sz w:val="16"/>
                <w:szCs w:val="16"/>
                <w:color w:val="auto"/>
              </w:rPr>
            </w:pPr>
          </w:p>
        </w:tc>
        <w:tc>
          <w:tcPr>
            <w:tcW w:w="880" w:type="dxa"/>
            <w:vAlign w:val="bottom"/>
            <w:shd w:val="clear" w:color="auto" w:fill="F1F2F2"/>
          </w:tcPr>
          <w:p>
            <w:pPr>
              <w:spacing w:after="0"/>
              <w:rPr>
                <w:sz w:val="16"/>
                <w:szCs w:val="16"/>
                <w:color w:val="auto"/>
              </w:rPr>
            </w:pPr>
          </w:p>
        </w:tc>
      </w:tr>
      <w:tr>
        <w:trPr>
          <w:trHeight w:val="203"/>
        </w:trPr>
        <w:tc>
          <w:tcPr>
            <w:tcW w:w="1520" w:type="dxa"/>
            <w:vAlign w:val="bottom"/>
            <w:shd w:val="clear" w:color="auto" w:fill="F1F2F2"/>
          </w:tcPr>
          <w:p>
            <w:pPr>
              <w:spacing w:after="0"/>
              <w:rPr>
                <w:sz w:val="17"/>
                <w:szCs w:val="17"/>
                <w:color w:val="auto"/>
              </w:rPr>
            </w:pPr>
          </w:p>
        </w:tc>
        <w:tc>
          <w:tcPr>
            <w:tcW w:w="13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Compensation</w:t>
            </w:r>
          </w:p>
        </w:tc>
        <w:tc>
          <w:tcPr>
            <w:tcW w:w="1380" w:type="dxa"/>
            <w:vAlign w:val="bottom"/>
            <w:shd w:val="clear" w:color="auto" w:fill="F1F2F2"/>
          </w:tcPr>
          <w:p>
            <w:pPr>
              <w:jc w:val="right"/>
              <w:ind w:right="81"/>
              <w:spacing w:after="0"/>
              <w:rPr>
                <w:sz w:val="20"/>
                <w:szCs w:val="20"/>
                <w:color w:val="auto"/>
              </w:rPr>
            </w:pPr>
            <w:r>
              <w:rPr>
                <w:rFonts w:ascii="Arial" w:cs="Arial" w:eastAsia="Arial" w:hAnsi="Arial"/>
                <w:sz w:val="16"/>
                <w:szCs w:val="16"/>
                <w:b w:val="1"/>
                <w:bCs w:val="1"/>
                <w:color w:val="auto"/>
              </w:rPr>
              <w:t>Compensation</w:t>
            </w:r>
          </w:p>
        </w:tc>
        <w:tc>
          <w:tcPr>
            <w:tcW w:w="1220" w:type="dxa"/>
            <w:vAlign w:val="bottom"/>
            <w:shd w:val="clear" w:color="auto" w:fill="F1F2F2"/>
          </w:tcPr>
          <w:p>
            <w:pPr>
              <w:jc w:val="right"/>
              <w:ind w:right="22"/>
              <w:spacing w:after="0"/>
              <w:rPr>
                <w:sz w:val="20"/>
                <w:szCs w:val="20"/>
                <w:color w:val="auto"/>
              </w:rPr>
            </w:pPr>
            <w:r>
              <w:rPr>
                <w:rFonts w:ascii="Arial" w:cs="Arial" w:eastAsia="Arial" w:hAnsi="Arial"/>
                <w:sz w:val="16"/>
                <w:szCs w:val="16"/>
                <w:b w:val="1"/>
                <w:bCs w:val="1"/>
                <w:color w:val="auto"/>
              </w:rPr>
              <w:t>Named</w:t>
            </w:r>
          </w:p>
        </w:tc>
        <w:tc>
          <w:tcPr>
            <w:tcW w:w="1460" w:type="dxa"/>
            <w:vAlign w:val="bottom"/>
            <w:gridSpan w:val="2"/>
            <w:shd w:val="clear" w:color="auto" w:fill="F1F2F2"/>
          </w:tcPr>
          <w:p>
            <w:pPr>
              <w:jc w:val="right"/>
              <w:ind w:right="160"/>
              <w:spacing w:after="0"/>
              <w:rPr>
                <w:sz w:val="20"/>
                <w:szCs w:val="20"/>
                <w:color w:val="auto"/>
              </w:rPr>
            </w:pPr>
            <w:r>
              <w:rPr>
                <w:rFonts w:ascii="Arial" w:cs="Arial" w:eastAsia="Arial" w:hAnsi="Arial"/>
                <w:sz w:val="16"/>
                <w:szCs w:val="16"/>
                <w:b w:val="1"/>
                <w:bCs w:val="1"/>
                <w:color w:val="auto"/>
              </w:rPr>
              <w:t>Named</w:t>
            </w:r>
          </w:p>
        </w:tc>
        <w:tc>
          <w:tcPr>
            <w:tcW w:w="10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Total</w:t>
            </w:r>
          </w:p>
        </w:tc>
        <w:tc>
          <w:tcPr>
            <w:tcW w:w="1120" w:type="dxa"/>
            <w:vAlign w:val="bottom"/>
            <w:gridSpan w:val="2"/>
            <w:shd w:val="clear" w:color="auto" w:fill="F1F2F2"/>
          </w:tcPr>
          <w:p>
            <w:pPr>
              <w:jc w:val="right"/>
              <w:ind w:right="80"/>
              <w:spacing w:after="0"/>
              <w:rPr>
                <w:sz w:val="20"/>
                <w:szCs w:val="20"/>
                <w:color w:val="auto"/>
              </w:rPr>
            </w:pPr>
            <w:r>
              <w:rPr>
                <w:rFonts w:ascii="Arial" w:cs="Arial" w:eastAsia="Arial" w:hAnsi="Arial"/>
                <w:sz w:val="16"/>
                <w:szCs w:val="16"/>
                <w:b w:val="1"/>
                <w:bCs w:val="1"/>
                <w:color w:val="auto"/>
              </w:rPr>
              <w:t>Total</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Net Income</w:t>
            </w:r>
          </w:p>
        </w:tc>
        <w:tc>
          <w:tcPr>
            <w:tcW w:w="880" w:type="dxa"/>
            <w:vAlign w:val="bottom"/>
            <w:shd w:val="clear" w:color="auto" w:fill="F1F2F2"/>
          </w:tcPr>
          <w:p>
            <w:pPr>
              <w:spacing w:after="0"/>
              <w:rPr>
                <w:sz w:val="17"/>
                <w:szCs w:val="17"/>
                <w:color w:val="auto"/>
              </w:rPr>
            </w:pPr>
          </w:p>
        </w:tc>
      </w:tr>
      <w:tr>
        <w:trPr>
          <w:trHeight w:val="189"/>
        </w:trPr>
        <w:tc>
          <w:tcPr>
            <w:tcW w:w="1520" w:type="dxa"/>
            <w:vAlign w:val="bottom"/>
            <w:shd w:val="clear" w:color="auto" w:fill="F1F2F2"/>
          </w:tcPr>
          <w:p>
            <w:pPr>
              <w:spacing w:after="0"/>
              <w:rPr>
                <w:sz w:val="16"/>
                <w:szCs w:val="16"/>
                <w:color w:val="auto"/>
              </w:rPr>
            </w:pPr>
          </w:p>
        </w:tc>
        <w:tc>
          <w:tcPr>
            <w:tcW w:w="13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Table Total for</w:t>
            </w:r>
          </w:p>
        </w:tc>
        <w:tc>
          <w:tcPr>
            <w:tcW w:w="1380" w:type="dxa"/>
            <w:vAlign w:val="bottom"/>
            <w:shd w:val="clear" w:color="auto" w:fill="F1F2F2"/>
          </w:tcPr>
          <w:p>
            <w:pPr>
              <w:jc w:val="right"/>
              <w:ind w:right="81"/>
              <w:spacing w:after="0"/>
              <w:rPr>
                <w:sz w:val="20"/>
                <w:szCs w:val="20"/>
                <w:color w:val="auto"/>
              </w:rPr>
            </w:pPr>
            <w:r>
              <w:rPr>
                <w:rFonts w:ascii="Arial" w:cs="Arial" w:eastAsia="Arial" w:hAnsi="Arial"/>
                <w:sz w:val="16"/>
                <w:szCs w:val="16"/>
                <w:b w:val="1"/>
                <w:bCs w:val="1"/>
                <w:color w:val="auto"/>
              </w:rPr>
              <w:t>Actually Paid</w:t>
            </w:r>
          </w:p>
        </w:tc>
        <w:tc>
          <w:tcPr>
            <w:tcW w:w="1220" w:type="dxa"/>
            <w:vAlign w:val="bottom"/>
            <w:shd w:val="clear" w:color="auto" w:fill="F1F2F2"/>
          </w:tcPr>
          <w:p>
            <w:pPr>
              <w:jc w:val="right"/>
              <w:ind w:right="22"/>
              <w:spacing w:after="0"/>
              <w:rPr>
                <w:sz w:val="20"/>
                <w:szCs w:val="20"/>
                <w:color w:val="auto"/>
              </w:rPr>
            </w:pPr>
            <w:r>
              <w:rPr>
                <w:rFonts w:ascii="Arial" w:cs="Arial" w:eastAsia="Arial" w:hAnsi="Arial"/>
                <w:sz w:val="16"/>
                <w:szCs w:val="16"/>
                <w:b w:val="1"/>
                <w:bCs w:val="1"/>
                <w:color w:val="auto"/>
              </w:rPr>
              <w:t>Executive</w:t>
            </w:r>
          </w:p>
        </w:tc>
        <w:tc>
          <w:tcPr>
            <w:tcW w:w="1460" w:type="dxa"/>
            <w:vAlign w:val="bottom"/>
            <w:gridSpan w:val="2"/>
            <w:shd w:val="clear" w:color="auto" w:fill="F1F2F2"/>
          </w:tcPr>
          <w:p>
            <w:pPr>
              <w:jc w:val="right"/>
              <w:ind w:right="160"/>
              <w:spacing w:after="0"/>
              <w:rPr>
                <w:sz w:val="20"/>
                <w:szCs w:val="20"/>
                <w:color w:val="auto"/>
              </w:rPr>
            </w:pPr>
            <w:r>
              <w:rPr>
                <w:rFonts w:ascii="Arial" w:cs="Arial" w:eastAsia="Arial" w:hAnsi="Arial"/>
                <w:sz w:val="16"/>
                <w:szCs w:val="16"/>
                <w:b w:val="1"/>
                <w:bCs w:val="1"/>
                <w:color w:val="auto"/>
              </w:rPr>
              <w:t>Executive</w:t>
            </w:r>
          </w:p>
        </w:tc>
        <w:tc>
          <w:tcPr>
            <w:tcW w:w="10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Shareholder</w:t>
            </w:r>
          </w:p>
        </w:tc>
        <w:tc>
          <w:tcPr>
            <w:tcW w:w="1120" w:type="dxa"/>
            <w:vAlign w:val="bottom"/>
            <w:gridSpan w:val="2"/>
            <w:shd w:val="clear" w:color="auto" w:fill="F1F2F2"/>
          </w:tcPr>
          <w:p>
            <w:pPr>
              <w:jc w:val="right"/>
              <w:ind w:right="80"/>
              <w:spacing w:after="0"/>
              <w:rPr>
                <w:sz w:val="20"/>
                <w:szCs w:val="20"/>
                <w:color w:val="auto"/>
              </w:rPr>
            </w:pPr>
            <w:r>
              <w:rPr>
                <w:rFonts w:ascii="Arial" w:cs="Arial" w:eastAsia="Arial" w:hAnsi="Arial"/>
                <w:sz w:val="16"/>
                <w:szCs w:val="16"/>
                <w:b w:val="1"/>
                <w:bCs w:val="1"/>
                <w:color w:val="auto"/>
              </w:rPr>
              <w:t>Shareholder</w:t>
            </w:r>
          </w:p>
        </w:tc>
        <w:tc>
          <w:tcPr>
            <w:tcW w:w="1240" w:type="dxa"/>
            <w:vAlign w:val="bottom"/>
            <w:shd w:val="clear" w:color="auto" w:fill="F1F2F2"/>
          </w:tcPr>
          <w:p>
            <w:pPr>
              <w:jc w:val="right"/>
              <w:ind w:right="99"/>
              <w:spacing w:after="0"/>
              <w:rPr>
                <w:sz w:val="20"/>
                <w:szCs w:val="20"/>
                <w:color w:val="auto"/>
              </w:rPr>
            </w:pPr>
            <w:r>
              <w:rPr>
                <w:rFonts w:ascii="Arial" w:cs="Arial" w:eastAsia="Arial" w:hAnsi="Arial"/>
                <w:sz w:val="16"/>
                <w:szCs w:val="16"/>
                <w:b w:val="1"/>
                <w:bCs w:val="1"/>
                <w:color w:val="auto"/>
              </w:rPr>
              <w:t>Attributable</w:t>
            </w:r>
          </w:p>
        </w:tc>
        <w:tc>
          <w:tcPr>
            <w:tcW w:w="8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Adjusted</w:t>
            </w:r>
          </w:p>
        </w:tc>
      </w:tr>
      <w:tr>
        <w:trPr>
          <w:trHeight w:val="188"/>
        </w:trPr>
        <w:tc>
          <w:tcPr>
            <w:tcW w:w="1520" w:type="dxa"/>
            <w:vAlign w:val="bottom"/>
            <w:shd w:val="clear" w:color="auto" w:fill="F1F2F2"/>
          </w:tcPr>
          <w:p>
            <w:pPr>
              <w:spacing w:after="0"/>
              <w:rPr>
                <w:sz w:val="16"/>
                <w:szCs w:val="16"/>
                <w:color w:val="auto"/>
              </w:rPr>
            </w:pPr>
          </w:p>
        </w:tc>
        <w:tc>
          <w:tcPr>
            <w:tcW w:w="13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PEO</w:t>
            </w:r>
          </w:p>
        </w:tc>
        <w:tc>
          <w:tcPr>
            <w:tcW w:w="1380" w:type="dxa"/>
            <w:vAlign w:val="bottom"/>
            <w:shd w:val="clear" w:color="auto" w:fill="F1F2F2"/>
          </w:tcPr>
          <w:p>
            <w:pPr>
              <w:jc w:val="right"/>
              <w:ind w:right="81"/>
              <w:spacing w:after="0"/>
              <w:rPr>
                <w:sz w:val="20"/>
                <w:szCs w:val="20"/>
                <w:color w:val="auto"/>
              </w:rPr>
            </w:pPr>
            <w:r>
              <w:rPr>
                <w:rFonts w:ascii="Arial" w:cs="Arial" w:eastAsia="Arial" w:hAnsi="Arial"/>
                <w:sz w:val="16"/>
                <w:szCs w:val="16"/>
                <w:b w:val="1"/>
                <w:bCs w:val="1"/>
                <w:color w:val="auto"/>
              </w:rPr>
              <w:t>to PEO</w:t>
            </w:r>
          </w:p>
        </w:tc>
        <w:tc>
          <w:tcPr>
            <w:tcW w:w="1220" w:type="dxa"/>
            <w:vAlign w:val="bottom"/>
            <w:shd w:val="clear" w:color="auto" w:fill="F1F2F2"/>
          </w:tcPr>
          <w:p>
            <w:pPr>
              <w:jc w:val="right"/>
              <w:ind w:right="22"/>
              <w:spacing w:after="0"/>
              <w:rPr>
                <w:sz w:val="20"/>
                <w:szCs w:val="20"/>
                <w:color w:val="auto"/>
              </w:rPr>
            </w:pPr>
            <w:r>
              <w:rPr>
                <w:rFonts w:ascii="Arial" w:cs="Arial" w:eastAsia="Arial" w:hAnsi="Arial"/>
                <w:sz w:val="16"/>
                <w:szCs w:val="16"/>
                <w:b w:val="1"/>
                <w:bCs w:val="1"/>
                <w:color w:val="auto"/>
              </w:rPr>
              <w:t>Officers</w:t>
            </w:r>
          </w:p>
        </w:tc>
        <w:tc>
          <w:tcPr>
            <w:tcW w:w="1460" w:type="dxa"/>
            <w:vAlign w:val="bottom"/>
            <w:gridSpan w:val="2"/>
            <w:shd w:val="clear" w:color="auto" w:fill="F1F2F2"/>
          </w:tcPr>
          <w:p>
            <w:pPr>
              <w:jc w:val="right"/>
              <w:ind w:right="160"/>
              <w:spacing w:after="0"/>
              <w:rPr>
                <w:sz w:val="20"/>
                <w:szCs w:val="20"/>
                <w:color w:val="auto"/>
              </w:rPr>
            </w:pPr>
            <w:r>
              <w:rPr>
                <w:rFonts w:ascii="Arial" w:cs="Arial" w:eastAsia="Arial" w:hAnsi="Arial"/>
                <w:sz w:val="16"/>
                <w:szCs w:val="16"/>
                <w:b w:val="1"/>
                <w:bCs w:val="1"/>
                <w:color w:val="auto"/>
              </w:rPr>
              <w:t>Officers</w:t>
            </w:r>
          </w:p>
        </w:tc>
        <w:tc>
          <w:tcPr>
            <w:tcW w:w="10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Return</w:t>
            </w:r>
          </w:p>
        </w:tc>
        <w:tc>
          <w:tcPr>
            <w:tcW w:w="1120" w:type="dxa"/>
            <w:vAlign w:val="bottom"/>
            <w:gridSpan w:val="2"/>
            <w:shd w:val="clear" w:color="auto" w:fill="F1F2F2"/>
          </w:tcPr>
          <w:p>
            <w:pPr>
              <w:jc w:val="right"/>
              <w:ind w:right="80"/>
              <w:spacing w:after="0"/>
              <w:rPr>
                <w:sz w:val="20"/>
                <w:szCs w:val="20"/>
                <w:color w:val="auto"/>
              </w:rPr>
            </w:pPr>
            <w:r>
              <w:rPr>
                <w:rFonts w:ascii="Arial" w:cs="Arial" w:eastAsia="Arial" w:hAnsi="Arial"/>
                <w:sz w:val="16"/>
                <w:szCs w:val="16"/>
                <w:b w:val="1"/>
                <w:bCs w:val="1"/>
                <w:color w:val="auto"/>
              </w:rPr>
              <w:t>Return</w:t>
            </w:r>
          </w:p>
        </w:tc>
        <w:tc>
          <w:tcPr>
            <w:tcW w:w="1240" w:type="dxa"/>
            <w:vAlign w:val="bottom"/>
            <w:shd w:val="clear" w:color="auto" w:fill="F1F2F2"/>
          </w:tcPr>
          <w:p>
            <w:pPr>
              <w:jc w:val="right"/>
              <w:ind w:right="59"/>
              <w:spacing w:after="0"/>
              <w:rPr>
                <w:sz w:val="20"/>
                <w:szCs w:val="20"/>
                <w:color w:val="auto"/>
              </w:rPr>
            </w:pPr>
            <w:r>
              <w:rPr>
                <w:rFonts w:ascii="Arial" w:cs="Arial" w:eastAsia="Arial" w:hAnsi="Arial"/>
                <w:sz w:val="16"/>
                <w:szCs w:val="16"/>
                <w:b w:val="1"/>
                <w:bCs w:val="1"/>
                <w:color w:val="auto"/>
              </w:rPr>
              <w:t>to Hubbell</w:t>
            </w:r>
          </w:p>
        </w:tc>
        <w:tc>
          <w:tcPr>
            <w:tcW w:w="88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Diluted</w:t>
            </w:r>
          </w:p>
        </w:tc>
      </w:tr>
      <w:tr>
        <w:trPr>
          <w:trHeight w:val="230"/>
        </w:trPr>
        <w:tc>
          <w:tcPr>
            <w:tcW w:w="1520" w:type="dxa"/>
            <w:vAlign w:val="bottom"/>
            <w:shd w:val="clear" w:color="auto" w:fill="F1F2F2"/>
          </w:tcPr>
          <w:p>
            <w:pPr>
              <w:ind w:left="60"/>
              <w:spacing w:after="0"/>
              <w:rPr>
                <w:sz w:val="20"/>
                <w:szCs w:val="20"/>
                <w:color w:val="auto"/>
              </w:rPr>
            </w:pPr>
            <w:r>
              <w:rPr>
                <w:rFonts w:ascii="Arial" w:cs="Arial" w:eastAsia="Arial" w:hAnsi="Arial"/>
                <w:sz w:val="16"/>
                <w:szCs w:val="16"/>
                <w:b w:val="1"/>
                <w:bCs w:val="1"/>
                <w:color w:val="auto"/>
              </w:rPr>
              <w:t>Year</w:t>
            </w:r>
          </w:p>
        </w:tc>
        <w:tc>
          <w:tcPr>
            <w:tcW w:w="1380" w:type="dxa"/>
            <w:vAlign w:val="bottom"/>
            <w:shd w:val="clear" w:color="auto" w:fill="F1F2F2"/>
          </w:tcPr>
          <w:p>
            <w:pPr>
              <w:jc w:val="right"/>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1380" w:type="dxa"/>
            <w:vAlign w:val="bottom"/>
            <w:shd w:val="clear" w:color="auto" w:fill="F1F2F2"/>
          </w:tcPr>
          <w:p>
            <w:pPr>
              <w:jc w:val="right"/>
              <w:ind w:right="81"/>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(1)(2)</w:t>
            </w:r>
          </w:p>
        </w:tc>
        <w:tc>
          <w:tcPr>
            <w:tcW w:w="1220" w:type="dxa"/>
            <w:vAlign w:val="bottom"/>
            <w:shd w:val="clear" w:color="auto" w:fill="F1F2F2"/>
          </w:tcPr>
          <w:p>
            <w:pPr>
              <w:jc w:val="right"/>
              <w:ind w:right="22"/>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(1)</w:t>
            </w:r>
          </w:p>
        </w:tc>
        <w:tc>
          <w:tcPr>
            <w:tcW w:w="1460" w:type="dxa"/>
            <w:vAlign w:val="bottom"/>
            <w:gridSpan w:val="2"/>
            <w:shd w:val="clear" w:color="auto" w:fill="F1F2F2"/>
          </w:tcPr>
          <w:p>
            <w:pPr>
              <w:jc w:val="right"/>
              <w:ind w:right="160"/>
              <w:spacing w:after="0" w:line="230"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2"/>
                <w:szCs w:val="12"/>
                <w:b w:val="1"/>
                <w:bCs w:val="1"/>
                <w:color w:val="auto"/>
              </w:rPr>
              <w:t>(1)(2)</w:t>
            </w:r>
          </w:p>
        </w:tc>
        <w:tc>
          <w:tcPr>
            <w:tcW w:w="1040" w:type="dxa"/>
            <w:vAlign w:val="bottom"/>
            <w:shd w:val="clear" w:color="auto" w:fill="F1F2F2"/>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gridSpan w:val="2"/>
            <w:shd w:val="clear" w:color="auto" w:fill="F1F2F2"/>
          </w:tcPr>
          <w:p>
            <w:pPr>
              <w:jc w:val="right"/>
              <w:ind w:right="80"/>
              <w:spacing w:after="0" w:line="230" w:lineRule="exact"/>
              <w:rPr>
                <w:sz w:val="20"/>
                <w:szCs w:val="20"/>
                <w:color w:val="auto"/>
              </w:rPr>
            </w:pPr>
            <w:r>
              <w:rPr>
                <w:rFonts w:ascii="Arial" w:cs="Arial" w:eastAsia="Arial" w:hAnsi="Arial"/>
                <w:sz w:val="16"/>
                <w:szCs w:val="16"/>
                <w:b w:val="1"/>
                <w:bCs w:val="1"/>
                <w:color w:val="auto"/>
              </w:rPr>
              <w:t>($)</w:t>
            </w:r>
            <w:r>
              <w:rPr>
                <w:rFonts w:ascii="Arial" w:cs="Arial" w:eastAsia="Arial" w:hAnsi="Arial"/>
                <w:sz w:val="26"/>
                <w:szCs w:val="26"/>
                <w:b w:val="1"/>
                <w:bCs w:val="1"/>
                <w:color w:val="auto"/>
                <w:vertAlign w:val="superscript"/>
              </w:rPr>
              <w:t>(4)</w:t>
            </w:r>
          </w:p>
        </w:tc>
        <w:tc>
          <w:tcPr>
            <w:tcW w:w="1240" w:type="dxa"/>
            <w:vAlign w:val="bottom"/>
            <w:shd w:val="clear" w:color="auto" w:fill="F1F2F2"/>
          </w:tcPr>
          <w:p>
            <w:pPr>
              <w:jc w:val="right"/>
              <w:ind w:right="59"/>
              <w:spacing w:after="0" w:line="230" w:lineRule="exact"/>
              <w:rPr>
                <w:sz w:val="20"/>
                <w:szCs w:val="20"/>
                <w:color w:val="auto"/>
              </w:rPr>
            </w:pPr>
            <w:r>
              <w:rPr>
                <w:rFonts w:ascii="Arial" w:cs="Arial" w:eastAsia="Arial" w:hAnsi="Arial"/>
                <w:sz w:val="16"/>
                <w:szCs w:val="16"/>
                <w:b w:val="1"/>
                <w:bCs w:val="1"/>
                <w:color w:val="auto"/>
              </w:rPr>
              <w:t>($ millions)</w:t>
            </w:r>
            <w:r>
              <w:rPr>
                <w:rFonts w:ascii="Arial" w:cs="Arial" w:eastAsia="Arial" w:hAnsi="Arial"/>
                <w:sz w:val="26"/>
                <w:szCs w:val="26"/>
                <w:b w:val="1"/>
                <w:bCs w:val="1"/>
                <w:color w:val="auto"/>
                <w:vertAlign w:val="superscript"/>
              </w:rPr>
              <w:t>(5)</w:t>
            </w:r>
          </w:p>
        </w:tc>
        <w:tc>
          <w:tcPr>
            <w:tcW w:w="880" w:type="dxa"/>
            <w:vAlign w:val="bottom"/>
            <w:shd w:val="clear" w:color="auto" w:fill="F1F2F2"/>
          </w:tcPr>
          <w:p>
            <w:pPr>
              <w:jc w:val="right"/>
              <w:spacing w:after="0" w:line="230" w:lineRule="exact"/>
              <w:rPr>
                <w:sz w:val="20"/>
                <w:szCs w:val="20"/>
                <w:color w:val="auto"/>
              </w:rPr>
            </w:pPr>
            <w:r>
              <w:rPr>
                <w:rFonts w:ascii="Arial" w:cs="Arial" w:eastAsia="Arial" w:hAnsi="Arial"/>
                <w:sz w:val="26"/>
                <w:szCs w:val="26"/>
                <w:b w:val="1"/>
                <w:bCs w:val="1"/>
                <w:color w:val="auto"/>
                <w:vertAlign w:val="subscript"/>
              </w:rPr>
              <w:t>EPS</w:t>
            </w:r>
            <w:r>
              <w:rPr>
                <w:rFonts w:ascii="Arial" w:cs="Arial" w:eastAsia="Arial" w:hAnsi="Arial"/>
                <w:sz w:val="12"/>
                <w:szCs w:val="12"/>
                <w:b w:val="1"/>
                <w:bCs w:val="1"/>
                <w:color w:val="auto"/>
              </w:rPr>
              <w:t>(5)(6)</w:t>
            </w:r>
          </w:p>
        </w:tc>
      </w:tr>
      <w:tr>
        <w:trPr>
          <w:trHeight w:val="189"/>
        </w:trPr>
        <w:tc>
          <w:tcPr>
            <w:tcW w:w="1520" w:type="dxa"/>
            <w:vAlign w:val="bottom"/>
            <w:tcBorders>
              <w:bottom w:val="single" w:sz="8" w:color="BCBEC0"/>
            </w:tcBorders>
          </w:tcPr>
          <w:p>
            <w:pPr>
              <w:ind w:left="60"/>
              <w:spacing w:after="0"/>
              <w:rPr>
                <w:sz w:val="20"/>
                <w:szCs w:val="20"/>
                <w:color w:val="auto"/>
              </w:rPr>
            </w:pPr>
            <w:r>
              <w:rPr>
                <w:rFonts w:ascii="Arial" w:cs="Arial" w:eastAsia="Arial" w:hAnsi="Arial"/>
                <w:sz w:val="16"/>
                <w:szCs w:val="16"/>
                <w:color w:val="auto"/>
              </w:rPr>
              <w:t>2025</w:t>
            </w:r>
          </w:p>
        </w:tc>
        <w:tc>
          <w:tcPr>
            <w:tcW w:w="13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10,346,752</w:t>
            </w:r>
          </w:p>
        </w:tc>
        <w:tc>
          <w:tcPr>
            <w:tcW w:w="1380" w:type="dxa"/>
            <w:vAlign w:val="bottom"/>
            <w:tcBorders>
              <w:bottom w:val="single" w:sz="8" w:color="BCBEC0"/>
            </w:tcBorders>
          </w:tcPr>
          <w:p>
            <w:pPr>
              <w:jc w:val="right"/>
              <w:ind w:right="81"/>
              <w:spacing w:after="0"/>
              <w:rPr>
                <w:sz w:val="20"/>
                <w:szCs w:val="20"/>
                <w:color w:val="auto"/>
              </w:rPr>
            </w:pPr>
            <w:r>
              <w:rPr>
                <w:rFonts w:ascii="Arial" w:cs="Arial" w:eastAsia="Arial" w:hAnsi="Arial"/>
                <w:sz w:val="16"/>
                <w:szCs w:val="16"/>
                <w:color w:val="auto"/>
              </w:rPr>
              <w:t>11,636,745</w:t>
            </w:r>
          </w:p>
        </w:tc>
        <w:tc>
          <w:tcPr>
            <w:tcW w:w="1220" w:type="dxa"/>
            <w:vAlign w:val="bottom"/>
            <w:tcBorders>
              <w:bottom w:val="single" w:sz="8" w:color="BCBEC0"/>
            </w:tcBorders>
          </w:tcPr>
          <w:p>
            <w:pPr>
              <w:jc w:val="right"/>
              <w:ind w:right="22"/>
              <w:spacing w:after="0"/>
              <w:rPr>
                <w:sz w:val="20"/>
                <w:szCs w:val="20"/>
                <w:color w:val="auto"/>
              </w:rPr>
            </w:pPr>
            <w:r>
              <w:rPr>
                <w:rFonts w:ascii="Arial" w:cs="Arial" w:eastAsia="Arial" w:hAnsi="Arial"/>
                <w:sz w:val="16"/>
                <w:szCs w:val="16"/>
                <w:color w:val="auto"/>
              </w:rPr>
              <w:t>2,830,219</w:t>
            </w:r>
          </w:p>
        </w:tc>
        <w:tc>
          <w:tcPr>
            <w:tcW w:w="1460" w:type="dxa"/>
            <w:vAlign w:val="bottom"/>
            <w:tcBorders>
              <w:bottom w:val="single" w:sz="8" w:color="BCBEC0"/>
            </w:tcBorders>
            <w:gridSpan w:val="2"/>
          </w:tcPr>
          <w:p>
            <w:pPr>
              <w:jc w:val="right"/>
              <w:ind w:right="160"/>
              <w:spacing w:after="0"/>
              <w:rPr>
                <w:sz w:val="20"/>
                <w:szCs w:val="20"/>
                <w:color w:val="auto"/>
              </w:rPr>
            </w:pPr>
            <w:r>
              <w:rPr>
                <w:rFonts w:ascii="Arial" w:cs="Arial" w:eastAsia="Arial" w:hAnsi="Arial"/>
                <w:sz w:val="16"/>
                <w:szCs w:val="16"/>
                <w:color w:val="auto"/>
              </w:rPr>
              <w:t>3,144,443</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307.70</w:t>
            </w:r>
          </w:p>
        </w:tc>
        <w:tc>
          <w:tcPr>
            <w:tcW w:w="104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222.79</w:t>
            </w:r>
          </w:p>
        </w:tc>
        <w:tc>
          <w:tcPr>
            <w:tcW w:w="80" w:type="dxa"/>
            <w:vAlign w:val="bottom"/>
            <w:tcBorders>
              <w:bottom w:val="single" w:sz="8" w:color="BCBEC0"/>
            </w:tcBorders>
          </w:tcPr>
          <w:p>
            <w:pPr>
              <w:spacing w:after="0"/>
              <w:rPr>
                <w:sz w:val="16"/>
                <w:szCs w:val="16"/>
                <w:color w:val="auto"/>
              </w:rPr>
            </w:pPr>
          </w:p>
        </w:tc>
        <w:tc>
          <w:tcPr>
            <w:tcW w:w="1240" w:type="dxa"/>
            <w:vAlign w:val="bottom"/>
            <w:tcBorders>
              <w:bottom w:val="single" w:sz="8" w:color="BCBEC0"/>
            </w:tcBorders>
          </w:tcPr>
          <w:p>
            <w:pPr>
              <w:jc w:val="right"/>
              <w:ind w:right="59"/>
              <w:spacing w:after="0"/>
              <w:rPr>
                <w:sz w:val="20"/>
                <w:szCs w:val="20"/>
                <w:color w:val="auto"/>
              </w:rPr>
            </w:pPr>
            <w:r>
              <w:rPr>
                <w:rFonts w:ascii="Arial" w:cs="Arial" w:eastAsia="Arial" w:hAnsi="Arial"/>
                <w:sz w:val="16"/>
                <w:szCs w:val="16"/>
                <w:color w:val="auto"/>
              </w:rPr>
              <w:t>887.1</w:t>
            </w:r>
          </w:p>
        </w:tc>
        <w:tc>
          <w:tcPr>
            <w:tcW w:w="8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18.21</w:t>
            </w:r>
          </w:p>
        </w:tc>
      </w:tr>
      <w:tr>
        <w:trPr>
          <w:trHeight w:val="183"/>
        </w:trPr>
        <w:tc>
          <w:tcPr>
            <w:tcW w:w="15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2024</w:t>
            </w:r>
          </w:p>
        </w:tc>
        <w:tc>
          <w:tcPr>
            <w:tcW w:w="1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9,321,451</w:t>
            </w:r>
          </w:p>
        </w:tc>
        <w:tc>
          <w:tcPr>
            <w:tcW w:w="1380" w:type="dxa"/>
            <w:vAlign w:val="bottom"/>
            <w:tcBorders>
              <w:bottom w:val="single" w:sz="8" w:color="BCBEC0"/>
            </w:tcBorders>
          </w:tcPr>
          <w:p>
            <w:pPr>
              <w:jc w:val="right"/>
              <w:ind w:right="81"/>
              <w:spacing w:after="0" w:line="183" w:lineRule="exact"/>
              <w:rPr>
                <w:sz w:val="20"/>
                <w:szCs w:val="20"/>
                <w:color w:val="auto"/>
              </w:rPr>
            </w:pPr>
            <w:r>
              <w:rPr>
                <w:rFonts w:ascii="Arial" w:cs="Arial" w:eastAsia="Arial" w:hAnsi="Arial"/>
                <w:sz w:val="16"/>
                <w:szCs w:val="16"/>
                <w:color w:val="auto"/>
              </w:rPr>
              <w:t>23,267,814</w:t>
            </w:r>
          </w:p>
        </w:tc>
        <w:tc>
          <w:tcPr>
            <w:tcW w:w="1220" w:type="dxa"/>
            <w:vAlign w:val="bottom"/>
            <w:tcBorders>
              <w:bottom w:val="single" w:sz="8" w:color="BCBEC0"/>
            </w:tcBorders>
          </w:tcPr>
          <w:p>
            <w:pPr>
              <w:jc w:val="right"/>
              <w:ind w:right="22"/>
              <w:spacing w:after="0" w:line="183" w:lineRule="exact"/>
              <w:rPr>
                <w:sz w:val="20"/>
                <w:szCs w:val="20"/>
                <w:color w:val="auto"/>
              </w:rPr>
            </w:pPr>
            <w:r>
              <w:rPr>
                <w:rFonts w:ascii="Arial" w:cs="Arial" w:eastAsia="Arial" w:hAnsi="Arial"/>
                <w:sz w:val="16"/>
                <w:szCs w:val="16"/>
                <w:color w:val="auto"/>
              </w:rPr>
              <w:t>2,724,290</w:t>
            </w:r>
          </w:p>
        </w:tc>
        <w:tc>
          <w:tcPr>
            <w:tcW w:w="1460" w:type="dxa"/>
            <w:vAlign w:val="bottom"/>
            <w:tcBorders>
              <w:bottom w:val="single" w:sz="8" w:color="BCBEC0"/>
            </w:tcBorders>
            <w:gridSpan w:val="2"/>
          </w:tcPr>
          <w:p>
            <w:pPr>
              <w:jc w:val="right"/>
              <w:ind w:right="160"/>
              <w:spacing w:after="0" w:line="183" w:lineRule="exact"/>
              <w:rPr>
                <w:sz w:val="20"/>
                <w:szCs w:val="20"/>
                <w:color w:val="auto"/>
              </w:rPr>
            </w:pPr>
            <w:r>
              <w:rPr>
                <w:rFonts w:ascii="Arial" w:cs="Arial" w:eastAsia="Arial" w:hAnsi="Arial"/>
                <w:sz w:val="16"/>
                <w:szCs w:val="16"/>
                <w:color w:val="auto"/>
              </w:rPr>
              <w:t>5,336,496</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286.40</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167.74</w:t>
            </w:r>
          </w:p>
        </w:tc>
        <w:tc>
          <w:tcPr>
            <w:tcW w:w="80" w:type="dxa"/>
            <w:vAlign w:val="bottom"/>
            <w:tcBorders>
              <w:bottom w:val="single" w:sz="8" w:color="BCBEC0"/>
            </w:tcBorders>
          </w:tcPr>
          <w:p>
            <w:pPr>
              <w:spacing w:after="0"/>
              <w:rPr>
                <w:sz w:val="15"/>
                <w:szCs w:val="15"/>
                <w:color w:val="auto"/>
              </w:rPr>
            </w:pP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777.8</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16.57</w:t>
            </w:r>
          </w:p>
        </w:tc>
      </w:tr>
      <w:tr>
        <w:trPr>
          <w:trHeight w:val="183"/>
        </w:trPr>
        <w:tc>
          <w:tcPr>
            <w:tcW w:w="15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2023</w:t>
            </w:r>
          </w:p>
        </w:tc>
        <w:tc>
          <w:tcPr>
            <w:tcW w:w="1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9,666,284</w:t>
            </w:r>
          </w:p>
        </w:tc>
        <w:tc>
          <w:tcPr>
            <w:tcW w:w="1380" w:type="dxa"/>
            <w:vAlign w:val="bottom"/>
            <w:tcBorders>
              <w:bottom w:val="single" w:sz="8" w:color="BCBEC0"/>
            </w:tcBorders>
          </w:tcPr>
          <w:p>
            <w:pPr>
              <w:jc w:val="right"/>
              <w:ind w:right="81"/>
              <w:spacing w:after="0" w:line="183" w:lineRule="exact"/>
              <w:rPr>
                <w:sz w:val="20"/>
                <w:szCs w:val="20"/>
                <w:color w:val="auto"/>
              </w:rPr>
            </w:pPr>
            <w:r>
              <w:rPr>
                <w:rFonts w:ascii="Arial" w:cs="Arial" w:eastAsia="Arial" w:hAnsi="Arial"/>
                <w:sz w:val="16"/>
                <w:szCs w:val="16"/>
                <w:color w:val="auto"/>
              </w:rPr>
              <w:t>25,195,604</w:t>
            </w:r>
          </w:p>
        </w:tc>
        <w:tc>
          <w:tcPr>
            <w:tcW w:w="1220" w:type="dxa"/>
            <w:vAlign w:val="bottom"/>
            <w:tcBorders>
              <w:bottom w:val="single" w:sz="8" w:color="BCBEC0"/>
            </w:tcBorders>
          </w:tcPr>
          <w:p>
            <w:pPr>
              <w:jc w:val="right"/>
              <w:ind w:right="22"/>
              <w:spacing w:after="0" w:line="183" w:lineRule="exact"/>
              <w:rPr>
                <w:sz w:val="20"/>
                <w:szCs w:val="20"/>
                <w:color w:val="auto"/>
              </w:rPr>
            </w:pPr>
            <w:r>
              <w:rPr>
                <w:rFonts w:ascii="Arial" w:cs="Arial" w:eastAsia="Arial" w:hAnsi="Arial"/>
                <w:sz w:val="16"/>
                <w:szCs w:val="16"/>
                <w:color w:val="auto"/>
              </w:rPr>
              <w:t>2,755,598</w:t>
            </w:r>
          </w:p>
        </w:tc>
        <w:tc>
          <w:tcPr>
            <w:tcW w:w="1460" w:type="dxa"/>
            <w:vAlign w:val="bottom"/>
            <w:tcBorders>
              <w:bottom w:val="single" w:sz="8" w:color="BCBEC0"/>
            </w:tcBorders>
            <w:gridSpan w:val="2"/>
          </w:tcPr>
          <w:p>
            <w:pPr>
              <w:jc w:val="right"/>
              <w:ind w:right="160"/>
              <w:spacing w:after="0" w:line="183" w:lineRule="exact"/>
              <w:rPr>
                <w:sz w:val="20"/>
                <w:szCs w:val="20"/>
                <w:color w:val="auto"/>
              </w:rPr>
            </w:pPr>
            <w:r>
              <w:rPr>
                <w:rFonts w:ascii="Arial" w:cs="Arial" w:eastAsia="Arial" w:hAnsi="Arial"/>
                <w:sz w:val="16"/>
                <w:szCs w:val="16"/>
                <w:color w:val="auto"/>
              </w:rPr>
              <w:t>4,109,289</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222.14</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126.87</w:t>
            </w:r>
          </w:p>
        </w:tc>
        <w:tc>
          <w:tcPr>
            <w:tcW w:w="80" w:type="dxa"/>
            <w:vAlign w:val="bottom"/>
            <w:tcBorders>
              <w:bottom w:val="single" w:sz="8" w:color="BCBEC0"/>
            </w:tcBorders>
          </w:tcPr>
          <w:p>
            <w:pPr>
              <w:spacing w:after="0"/>
              <w:rPr>
                <w:sz w:val="15"/>
                <w:szCs w:val="15"/>
                <w:color w:val="auto"/>
              </w:rPr>
            </w:pP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759.8</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15.33</w:t>
            </w:r>
          </w:p>
        </w:tc>
      </w:tr>
      <w:tr>
        <w:trPr>
          <w:trHeight w:val="183"/>
        </w:trPr>
        <w:tc>
          <w:tcPr>
            <w:tcW w:w="15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2022</w:t>
            </w:r>
          </w:p>
        </w:tc>
        <w:tc>
          <w:tcPr>
            <w:tcW w:w="1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8,145,111</w:t>
            </w:r>
          </w:p>
        </w:tc>
        <w:tc>
          <w:tcPr>
            <w:tcW w:w="1380" w:type="dxa"/>
            <w:vAlign w:val="bottom"/>
            <w:tcBorders>
              <w:bottom w:val="single" w:sz="8" w:color="BCBEC0"/>
            </w:tcBorders>
          </w:tcPr>
          <w:p>
            <w:pPr>
              <w:jc w:val="right"/>
              <w:ind w:right="81"/>
              <w:spacing w:after="0" w:line="183" w:lineRule="exact"/>
              <w:rPr>
                <w:sz w:val="20"/>
                <w:szCs w:val="20"/>
                <w:color w:val="auto"/>
              </w:rPr>
            </w:pPr>
            <w:r>
              <w:rPr>
                <w:rFonts w:ascii="Arial" w:cs="Arial" w:eastAsia="Arial" w:hAnsi="Arial"/>
                <w:sz w:val="16"/>
                <w:szCs w:val="16"/>
                <w:color w:val="auto"/>
              </w:rPr>
              <w:t>16,337,722</w:t>
            </w:r>
          </w:p>
        </w:tc>
        <w:tc>
          <w:tcPr>
            <w:tcW w:w="1220" w:type="dxa"/>
            <w:vAlign w:val="bottom"/>
            <w:tcBorders>
              <w:bottom w:val="single" w:sz="8" w:color="BCBEC0"/>
            </w:tcBorders>
          </w:tcPr>
          <w:p>
            <w:pPr>
              <w:jc w:val="right"/>
              <w:ind w:right="22"/>
              <w:spacing w:after="0" w:line="183" w:lineRule="exact"/>
              <w:rPr>
                <w:sz w:val="20"/>
                <w:szCs w:val="20"/>
                <w:color w:val="auto"/>
              </w:rPr>
            </w:pPr>
            <w:r>
              <w:rPr>
                <w:rFonts w:ascii="Arial" w:cs="Arial" w:eastAsia="Arial" w:hAnsi="Arial"/>
                <w:sz w:val="16"/>
                <w:szCs w:val="16"/>
                <w:color w:val="auto"/>
              </w:rPr>
              <w:t>2,343,695</w:t>
            </w:r>
          </w:p>
        </w:tc>
        <w:tc>
          <w:tcPr>
            <w:tcW w:w="1460" w:type="dxa"/>
            <w:vAlign w:val="bottom"/>
            <w:tcBorders>
              <w:bottom w:val="single" w:sz="8" w:color="BCBEC0"/>
            </w:tcBorders>
            <w:gridSpan w:val="2"/>
          </w:tcPr>
          <w:p>
            <w:pPr>
              <w:jc w:val="right"/>
              <w:ind w:right="160"/>
              <w:spacing w:after="0" w:line="183" w:lineRule="exact"/>
              <w:rPr>
                <w:sz w:val="20"/>
                <w:szCs w:val="20"/>
                <w:color w:val="auto"/>
              </w:rPr>
            </w:pPr>
            <w:r>
              <w:rPr>
                <w:rFonts w:ascii="Arial" w:cs="Arial" w:eastAsia="Arial" w:hAnsi="Arial"/>
                <w:sz w:val="16"/>
                <w:szCs w:val="16"/>
                <w:color w:val="auto"/>
              </w:rPr>
              <w:t>4,107,995</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155.99</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100.61</w:t>
            </w:r>
          </w:p>
        </w:tc>
        <w:tc>
          <w:tcPr>
            <w:tcW w:w="80" w:type="dxa"/>
            <w:vAlign w:val="bottom"/>
            <w:tcBorders>
              <w:bottom w:val="single" w:sz="8" w:color="BCBEC0"/>
            </w:tcBorders>
          </w:tcPr>
          <w:p>
            <w:pPr>
              <w:spacing w:after="0"/>
              <w:rPr>
                <w:sz w:val="15"/>
                <w:szCs w:val="15"/>
                <w:color w:val="auto"/>
              </w:rPr>
            </w:pP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511.3</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10.62</w:t>
            </w:r>
          </w:p>
        </w:tc>
      </w:tr>
      <w:tr>
        <w:trPr>
          <w:trHeight w:val="183"/>
        </w:trPr>
        <w:tc>
          <w:tcPr>
            <w:tcW w:w="152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color w:val="auto"/>
              </w:rPr>
              <w:t>2021</w:t>
            </w:r>
          </w:p>
        </w:tc>
        <w:tc>
          <w:tcPr>
            <w:tcW w:w="13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6,088,700</w:t>
            </w:r>
          </w:p>
        </w:tc>
        <w:tc>
          <w:tcPr>
            <w:tcW w:w="1380" w:type="dxa"/>
            <w:vAlign w:val="bottom"/>
            <w:tcBorders>
              <w:bottom w:val="single" w:sz="8" w:color="BCBEC0"/>
            </w:tcBorders>
          </w:tcPr>
          <w:p>
            <w:pPr>
              <w:jc w:val="right"/>
              <w:ind w:right="81"/>
              <w:spacing w:after="0" w:line="183" w:lineRule="exact"/>
              <w:rPr>
                <w:sz w:val="20"/>
                <w:szCs w:val="20"/>
                <w:color w:val="auto"/>
              </w:rPr>
            </w:pPr>
            <w:r>
              <w:rPr>
                <w:rFonts w:ascii="Arial" w:cs="Arial" w:eastAsia="Arial" w:hAnsi="Arial"/>
                <w:sz w:val="16"/>
                <w:szCs w:val="16"/>
                <w:color w:val="auto"/>
              </w:rPr>
              <w:t>12,169,471</w:t>
            </w:r>
          </w:p>
        </w:tc>
        <w:tc>
          <w:tcPr>
            <w:tcW w:w="1220" w:type="dxa"/>
            <w:vAlign w:val="bottom"/>
            <w:tcBorders>
              <w:bottom w:val="single" w:sz="8" w:color="BCBEC0"/>
            </w:tcBorders>
          </w:tcPr>
          <w:p>
            <w:pPr>
              <w:jc w:val="right"/>
              <w:ind w:right="22"/>
              <w:spacing w:after="0" w:line="183" w:lineRule="exact"/>
              <w:rPr>
                <w:sz w:val="20"/>
                <w:szCs w:val="20"/>
                <w:color w:val="auto"/>
              </w:rPr>
            </w:pPr>
            <w:r>
              <w:rPr>
                <w:rFonts w:ascii="Arial" w:cs="Arial" w:eastAsia="Arial" w:hAnsi="Arial"/>
                <w:sz w:val="16"/>
                <w:szCs w:val="16"/>
                <w:color w:val="auto"/>
              </w:rPr>
              <w:t>2,180,790</w:t>
            </w:r>
          </w:p>
        </w:tc>
        <w:tc>
          <w:tcPr>
            <w:tcW w:w="1460" w:type="dxa"/>
            <w:vAlign w:val="bottom"/>
            <w:tcBorders>
              <w:bottom w:val="single" w:sz="8" w:color="BCBEC0"/>
            </w:tcBorders>
            <w:gridSpan w:val="2"/>
          </w:tcPr>
          <w:p>
            <w:pPr>
              <w:jc w:val="right"/>
              <w:ind w:right="160"/>
              <w:spacing w:after="0" w:line="183" w:lineRule="exact"/>
              <w:rPr>
                <w:sz w:val="20"/>
                <w:szCs w:val="20"/>
                <w:color w:val="auto"/>
              </w:rPr>
            </w:pPr>
            <w:r>
              <w:rPr>
                <w:rFonts w:ascii="Arial" w:cs="Arial" w:eastAsia="Arial" w:hAnsi="Arial"/>
                <w:sz w:val="16"/>
                <w:szCs w:val="16"/>
                <w:color w:val="auto"/>
              </w:rPr>
              <w:t>3,924,025</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135.59</w:t>
            </w:r>
          </w:p>
        </w:tc>
        <w:tc>
          <w:tcPr>
            <w:tcW w:w="104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123.73</w:t>
            </w:r>
          </w:p>
        </w:tc>
        <w:tc>
          <w:tcPr>
            <w:tcW w:w="80" w:type="dxa"/>
            <w:vAlign w:val="bottom"/>
            <w:tcBorders>
              <w:bottom w:val="single" w:sz="8" w:color="BCBEC0"/>
            </w:tcBorders>
          </w:tcPr>
          <w:p>
            <w:pPr>
              <w:spacing w:after="0"/>
              <w:rPr>
                <w:sz w:val="15"/>
                <w:szCs w:val="15"/>
                <w:color w:val="auto"/>
              </w:rPr>
            </w:pPr>
          </w:p>
        </w:tc>
        <w:tc>
          <w:tcPr>
            <w:tcW w:w="1240" w:type="dxa"/>
            <w:vAlign w:val="bottom"/>
            <w:tcBorders>
              <w:bottom w:val="single" w:sz="8" w:color="BCBEC0"/>
            </w:tcBorders>
          </w:tcPr>
          <w:p>
            <w:pPr>
              <w:jc w:val="right"/>
              <w:ind w:right="59"/>
              <w:spacing w:after="0" w:line="183" w:lineRule="exact"/>
              <w:rPr>
                <w:sz w:val="20"/>
                <w:szCs w:val="20"/>
                <w:color w:val="auto"/>
              </w:rPr>
            </w:pPr>
            <w:r>
              <w:rPr>
                <w:rFonts w:ascii="Arial" w:cs="Arial" w:eastAsia="Arial" w:hAnsi="Arial"/>
                <w:sz w:val="16"/>
                <w:szCs w:val="16"/>
                <w:color w:val="auto"/>
              </w:rPr>
              <w:t>365.0</w:t>
            </w:r>
          </w:p>
        </w:tc>
        <w:tc>
          <w:tcPr>
            <w:tcW w:w="8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8.05</w:t>
            </w:r>
          </w:p>
        </w:tc>
      </w:tr>
    </w:tbl>
    <w:p>
      <w:pPr>
        <w:spacing w:after="0" w:line="60" w:lineRule="exact"/>
        <w:rPr>
          <w:sz w:val="20"/>
          <w:szCs w:val="20"/>
          <w:color w:val="auto"/>
        </w:rPr>
      </w:pPr>
    </w:p>
    <w:p>
      <w:pPr>
        <w:jc w:val="both"/>
        <w:ind w:left="340" w:hanging="332"/>
        <w:spacing w:after="0" w:line="213" w:lineRule="auto"/>
        <w:tabs>
          <w:tab w:leader="none" w:pos="340" w:val="left"/>
        </w:tabs>
        <w:numPr>
          <w:ilvl w:val="0"/>
          <w:numId w:val="8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Gerben W. Bakker became Chief Executive Officer, effective October 1, 2020, and is reflected in the tables above and below as Principal Executive Officer (“PEO”) for all years presented. The non-PEO NEOs for 2025 and 2024 were William R. Sperry, Mark E. Mikes, Gregory A. Gumbs, and Katherine A. Lane. The non-PEO NEOs for 2023 were William R. Sperry, Allan J. Connolly, Mark E. Mikes, Katherine A. Lane, and Gregory A. Gumbs. The non-PEO NEOs for 2022 were William R. Sperry, Allan J. Connolly, Peter J. Lau, Katherine A. Lane and Alyssa R. Flynn. The non-PEO NEOs for 2021 were William R. Sperry, Allan J. Connolly, Peter J. Lau and Katherine A. Lane.</w:t>
      </w:r>
    </w:p>
    <w:p>
      <w:pPr>
        <w:ind w:left="340" w:hanging="332"/>
        <w:spacing w:after="0" w:line="199" w:lineRule="auto"/>
        <w:tabs>
          <w:tab w:leader="none" w:pos="340" w:val="left"/>
        </w:tabs>
        <w:numPr>
          <w:ilvl w:val="0"/>
          <w:numId w:val="83"/>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Compensation Actually Paid (“CAP”) reflects the exclusions and inclusions for the PEOs and NEOs set forth below.</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6040" w:type="dxa"/>
            <w:vAlign w:val="bottom"/>
            <w:gridSpan w:val="2"/>
            <w:shd w:val="clear" w:color="auto" w:fill="FFE933"/>
          </w:tcPr>
          <w:p>
            <w:pPr>
              <w:ind w:left="40"/>
              <w:spacing w:after="0"/>
              <w:rPr>
                <w:sz w:val="20"/>
                <w:szCs w:val="20"/>
                <w:color w:val="auto"/>
              </w:rPr>
            </w:pPr>
            <w:r>
              <w:rPr>
                <w:rFonts w:ascii="Arial" w:cs="Arial" w:eastAsia="Arial" w:hAnsi="Arial"/>
                <w:sz w:val="14"/>
                <w:szCs w:val="14"/>
                <w:b w:val="1"/>
                <w:bCs w:val="1"/>
                <w:color w:val="auto"/>
              </w:rPr>
              <w:t>PEO: Gerben W. Bakker</w:t>
            </w:r>
          </w:p>
        </w:tc>
        <w:tc>
          <w:tcPr>
            <w:tcW w:w="1000" w:type="dxa"/>
            <w:vAlign w:val="bottom"/>
            <w:shd w:val="clear" w:color="auto" w:fill="FFE933"/>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1000" w:type="dxa"/>
            <w:vAlign w:val="bottom"/>
            <w:shd w:val="clear" w:color="auto" w:fill="FFE933"/>
          </w:tcPr>
          <w:p>
            <w:pPr>
              <w:jc w:val="right"/>
              <w:ind w:right="68"/>
              <w:spacing w:after="0"/>
              <w:rPr>
                <w:sz w:val="20"/>
                <w:szCs w:val="20"/>
                <w:color w:val="auto"/>
              </w:rPr>
            </w:pPr>
            <w:r>
              <w:rPr>
                <w:rFonts w:ascii="Arial" w:cs="Arial" w:eastAsia="Arial" w:hAnsi="Arial"/>
                <w:sz w:val="14"/>
                <w:szCs w:val="14"/>
                <w:b w:val="1"/>
                <w:bCs w:val="1"/>
                <w:color w:val="auto"/>
              </w:rPr>
              <w:t>2024</w:t>
            </w:r>
          </w:p>
        </w:tc>
        <w:tc>
          <w:tcPr>
            <w:tcW w:w="1000" w:type="dxa"/>
            <w:vAlign w:val="bottom"/>
            <w:shd w:val="clear" w:color="auto" w:fill="FFE933"/>
          </w:tcPr>
          <w:p>
            <w:pPr>
              <w:jc w:val="right"/>
              <w:ind w:right="68"/>
              <w:spacing w:after="0"/>
              <w:rPr>
                <w:sz w:val="20"/>
                <w:szCs w:val="20"/>
                <w:color w:val="auto"/>
              </w:rPr>
            </w:pPr>
            <w:r>
              <w:rPr>
                <w:rFonts w:ascii="Arial" w:cs="Arial" w:eastAsia="Arial" w:hAnsi="Arial"/>
                <w:sz w:val="14"/>
                <w:szCs w:val="14"/>
                <w:b w:val="1"/>
                <w:bCs w:val="1"/>
                <w:color w:val="auto"/>
              </w:rPr>
              <w:t>2023</w:t>
            </w:r>
          </w:p>
        </w:tc>
        <w:tc>
          <w:tcPr>
            <w:tcW w:w="960" w:type="dxa"/>
            <w:vAlign w:val="bottom"/>
            <w:shd w:val="clear" w:color="auto" w:fill="FFE933"/>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900" w:type="dxa"/>
            <w:vAlign w:val="bottom"/>
            <w:shd w:val="clear" w:color="auto" w:fill="FFE933"/>
          </w:tcPr>
          <w:p>
            <w:pPr>
              <w:jc w:val="right"/>
              <w:spacing w:after="0"/>
              <w:rPr>
                <w:sz w:val="20"/>
                <w:szCs w:val="20"/>
                <w:color w:val="auto"/>
              </w:rPr>
            </w:pPr>
            <w:r>
              <w:rPr>
                <w:rFonts w:ascii="Arial" w:cs="Arial" w:eastAsia="Arial" w:hAnsi="Arial"/>
                <w:sz w:val="14"/>
                <w:szCs w:val="14"/>
                <w:b w:val="1"/>
                <w:bCs w:val="1"/>
                <w:color w:val="auto"/>
              </w:rPr>
              <w:t>2021</w:t>
            </w:r>
          </w:p>
        </w:tc>
      </w:tr>
      <w:tr>
        <w:trPr>
          <w:trHeight w:val="162"/>
        </w:trPr>
        <w:tc>
          <w:tcPr>
            <w:tcW w:w="6040" w:type="dxa"/>
            <w:vAlign w:val="bottom"/>
            <w:tcBorders>
              <w:bottom w:val="single" w:sz="8" w:color="BCBEC0"/>
            </w:tcBorders>
            <w:gridSpan w:val="2"/>
          </w:tcPr>
          <w:p>
            <w:pPr>
              <w:ind w:left="40"/>
              <w:spacing w:after="0"/>
              <w:rPr>
                <w:sz w:val="20"/>
                <w:szCs w:val="20"/>
                <w:color w:val="auto"/>
              </w:rPr>
            </w:pPr>
            <w:r>
              <w:rPr>
                <w:rFonts w:ascii="Arial" w:cs="Arial" w:eastAsia="Arial" w:hAnsi="Arial"/>
                <w:sz w:val="14"/>
                <w:szCs w:val="14"/>
                <w:color w:val="auto"/>
              </w:rPr>
              <w:t>Summary Compensation Table Total ($)</w:t>
            </w:r>
          </w:p>
        </w:tc>
        <w:tc>
          <w:tcPr>
            <w:tcW w:w="100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10,346,752</w:t>
            </w:r>
          </w:p>
        </w:tc>
        <w:tc>
          <w:tcPr>
            <w:tcW w:w="100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9,321,451</w:t>
            </w:r>
          </w:p>
        </w:tc>
        <w:tc>
          <w:tcPr>
            <w:tcW w:w="100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9,666,284</w:t>
            </w:r>
          </w:p>
        </w:tc>
        <w:tc>
          <w:tcPr>
            <w:tcW w:w="960" w:type="dxa"/>
            <w:vAlign w:val="bottom"/>
            <w:tcBorders>
              <w:bottom w:val="single" w:sz="8" w:color="BCBEC0"/>
            </w:tcBorders>
          </w:tcPr>
          <w:p>
            <w:pPr>
              <w:jc w:val="right"/>
              <w:ind w:right="28"/>
              <w:spacing w:after="0"/>
              <w:rPr>
                <w:sz w:val="20"/>
                <w:szCs w:val="20"/>
                <w:color w:val="auto"/>
              </w:rPr>
            </w:pPr>
            <w:r>
              <w:rPr>
                <w:rFonts w:ascii="Arial" w:cs="Arial" w:eastAsia="Arial" w:hAnsi="Arial"/>
                <w:sz w:val="14"/>
                <w:szCs w:val="14"/>
                <w:color w:val="auto"/>
              </w:rPr>
              <w:t>8,145,111</w:t>
            </w:r>
          </w:p>
        </w:tc>
        <w:tc>
          <w:tcPr>
            <w:tcW w:w="90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6,088,700</w:t>
            </w:r>
          </w:p>
        </w:tc>
      </w:tr>
      <w:tr>
        <w:trPr>
          <w:trHeight w:val="146"/>
        </w:trPr>
        <w:tc>
          <w:tcPr>
            <w:tcW w:w="604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Less: Aggregate grant date fair value of restricted stock and performance shares granted in</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(5,526,100)</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(4,692,033)</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(4,249,556)</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(3,579,025)</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(3,130,670)</w:t>
            </w: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the applicable year as calculated in accordance with FASB ASC Topic 718</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604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Less: Aggregate grant date fair value of SARs granted in the applicable year as calculated</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(1,838,754)</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(1,464,957)</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(1,394,918)</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(1,174,988)</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(1,025,488)</w:t>
            </w: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in accordance with FASB ASC Topic 718</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tcPr>
          <w:p>
            <w:pPr>
              <w:ind w:left="60"/>
              <w:spacing w:after="0" w:line="147" w:lineRule="exact"/>
              <w:rPr>
                <w:sz w:val="20"/>
                <w:szCs w:val="20"/>
                <w:color w:val="auto"/>
              </w:rPr>
            </w:pPr>
            <w:r>
              <w:rPr>
                <w:rFonts w:ascii="Arial" w:cs="Arial" w:eastAsia="Arial" w:hAnsi="Arial"/>
                <w:sz w:val="14"/>
                <w:szCs w:val="14"/>
                <w:color w:val="auto"/>
              </w:rPr>
              <w:t>The fair value as of the end of the fiscal year of unvested equity awards granted in</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9,883,153</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10,459,480</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10,631,950</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8,505,609</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6,411,661</w:t>
            </w: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that year</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tcPr>
          <w:p>
            <w:pPr>
              <w:ind w:left="60"/>
              <w:spacing w:after="0" w:line="147" w:lineRule="exact"/>
              <w:rPr>
                <w:sz w:val="20"/>
                <w:szCs w:val="20"/>
                <w:color w:val="auto"/>
              </w:rPr>
            </w:pPr>
            <w:r>
              <w:rPr>
                <w:rFonts w:ascii="Arial" w:cs="Arial" w:eastAsia="Arial" w:hAnsi="Arial"/>
                <w:sz w:val="14"/>
                <w:szCs w:val="14"/>
                <w:color w:val="auto"/>
              </w:rPr>
              <w:t>The change in fair value during the year of equity awards granted in prior years that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(353,642)</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8,810,234</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6,757,770</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2,784,556</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3,216,228</w:t>
            </w: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remained outstanding and unvested at the end of the year</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tcPr>
          <w:p>
            <w:pPr>
              <w:ind w:left="60"/>
              <w:spacing w:after="0" w:line="147" w:lineRule="exact"/>
              <w:rPr>
                <w:sz w:val="20"/>
                <w:szCs w:val="20"/>
                <w:color w:val="auto"/>
              </w:rPr>
            </w:pPr>
            <w:r>
              <w:rPr>
                <w:rFonts w:ascii="Arial" w:cs="Arial" w:eastAsia="Arial" w:hAnsi="Arial"/>
                <w:sz w:val="14"/>
                <w:szCs w:val="14"/>
                <w:color w:val="auto"/>
              </w:rPr>
              <w:t>The change in fair value during the year through the vesting date of equity awards</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(596,019)</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1,026,927</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3,784,074</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1,656,459</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601,582</w:t>
            </w: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granted in prior years that vested during that year</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tcPr>
          <w:p>
            <w:pPr>
              <w:ind w:left="60"/>
              <w:spacing w:after="0" w:line="147" w:lineRule="exact"/>
              <w:rPr>
                <w:sz w:val="20"/>
                <w:szCs w:val="20"/>
                <w:color w:val="auto"/>
              </w:rPr>
            </w:pPr>
            <w:r>
              <w:rPr>
                <w:rFonts w:ascii="Arial" w:cs="Arial" w:eastAsia="Arial" w:hAnsi="Arial"/>
                <w:sz w:val="14"/>
                <w:szCs w:val="14"/>
                <w:color w:val="auto"/>
              </w:rPr>
              <w:t>Dividends or other earnings paid in stock or option awards in the covered fiscal year</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62"/>
        </w:trPr>
        <w:tc>
          <w:tcPr>
            <w:tcW w:w="420" w:type="dxa"/>
            <w:vAlign w:val="bottom"/>
          </w:tcPr>
          <w:p>
            <w:pPr>
              <w:spacing w:after="0"/>
              <w:rPr>
                <w:sz w:val="14"/>
                <w:szCs w:val="14"/>
                <w:color w:val="auto"/>
              </w:rPr>
            </w:pPr>
          </w:p>
        </w:tc>
        <w:tc>
          <w:tcPr>
            <w:tcW w:w="5620" w:type="dxa"/>
            <w:vAlign w:val="bottom"/>
          </w:tcPr>
          <w:p>
            <w:pPr>
              <w:ind w:left="60"/>
              <w:spacing w:after="0"/>
              <w:rPr>
                <w:sz w:val="20"/>
                <w:szCs w:val="20"/>
                <w:color w:val="auto"/>
              </w:rPr>
            </w:pPr>
            <w:r>
              <w:rPr>
                <w:rFonts w:ascii="Arial" w:cs="Arial" w:eastAsia="Arial" w:hAnsi="Arial"/>
                <w:sz w:val="14"/>
                <w:szCs w:val="14"/>
                <w:color w:val="auto"/>
              </w:rPr>
              <w:t>prior to the vesting date that are not otherwise included in the total compensation for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the covered fiscal year</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tcPr>
          <w:p>
            <w:pPr>
              <w:ind w:left="60"/>
              <w:spacing w:after="0" w:line="147" w:lineRule="exact"/>
              <w:rPr>
                <w:sz w:val="20"/>
                <w:szCs w:val="20"/>
                <w:color w:val="auto"/>
              </w:rPr>
            </w:pPr>
            <w:r>
              <w:rPr>
                <w:rFonts w:ascii="Arial" w:cs="Arial" w:eastAsia="Arial" w:hAnsi="Arial"/>
                <w:sz w:val="14"/>
                <w:szCs w:val="14"/>
                <w:color w:val="auto"/>
              </w:rPr>
              <w:t>Awards that are granted and vest in the same year, the fair value as of the vesting</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date</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604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Less: Aggregate change in the actuarial present value of accumulated benefit under the</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(278,645)</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(193,288)</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retirement plans in which they participate</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6040" w:type="dxa"/>
            <w:vAlign w:val="bottom"/>
            <w:gridSpan w:val="2"/>
          </w:tcPr>
          <w:p>
            <w:pPr>
              <w:ind w:left="40"/>
              <w:spacing w:after="0" w:line="147" w:lineRule="exact"/>
              <w:rPr>
                <w:sz w:val="20"/>
                <w:szCs w:val="20"/>
                <w:color w:val="auto"/>
              </w:rPr>
            </w:pPr>
            <w:r>
              <w:rPr>
                <w:rFonts w:ascii="Arial" w:cs="Arial" w:eastAsia="Arial" w:hAnsi="Arial"/>
                <w:sz w:val="14"/>
                <w:szCs w:val="14"/>
                <w:color w:val="auto"/>
              </w:rPr>
              <w:t>Less: Awards granted in any prior fiscal year that fail to meet the applicable vesting</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62"/>
        </w:trPr>
        <w:tc>
          <w:tcPr>
            <w:tcW w:w="420" w:type="dxa"/>
            <w:vAlign w:val="bottom"/>
          </w:tcPr>
          <w:p>
            <w:pPr>
              <w:spacing w:after="0"/>
              <w:rPr>
                <w:sz w:val="14"/>
                <w:szCs w:val="14"/>
                <w:color w:val="auto"/>
              </w:rPr>
            </w:pPr>
          </w:p>
        </w:tc>
        <w:tc>
          <w:tcPr>
            <w:tcW w:w="5620" w:type="dxa"/>
            <w:vAlign w:val="bottom"/>
          </w:tcPr>
          <w:p>
            <w:pPr>
              <w:ind w:left="60"/>
              <w:spacing w:after="0"/>
              <w:rPr>
                <w:sz w:val="20"/>
                <w:szCs w:val="20"/>
                <w:color w:val="auto"/>
              </w:rPr>
            </w:pPr>
            <w:r>
              <w:rPr>
                <w:rFonts w:ascii="Arial" w:cs="Arial" w:eastAsia="Arial" w:hAnsi="Arial"/>
                <w:sz w:val="14"/>
                <w:szCs w:val="14"/>
                <w:color w:val="auto"/>
              </w:rPr>
              <w:t>conditions during the covered fiscal year, the amount equal to the fair value at the</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end of the prior fiscal year</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46"/>
        </w:trPr>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tcPr>
          <w:p>
            <w:pPr>
              <w:ind w:left="60"/>
              <w:spacing w:after="0" w:line="147" w:lineRule="exact"/>
              <w:rPr>
                <w:sz w:val="20"/>
                <w:szCs w:val="20"/>
                <w:color w:val="auto"/>
              </w:rPr>
            </w:pPr>
            <w:r>
              <w:rPr>
                <w:rFonts w:ascii="Arial" w:cs="Arial" w:eastAsia="Arial" w:hAnsi="Arial"/>
                <w:sz w:val="14"/>
                <w:szCs w:val="14"/>
                <w:color w:val="auto"/>
              </w:rPr>
              <w:t>Service costs, or the actuarial present value of applicable benefit under all such</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line="147"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7" w:lineRule="exact"/>
              <w:rPr>
                <w:sz w:val="20"/>
                <w:szCs w:val="20"/>
                <w:color w:val="auto"/>
              </w:rPr>
            </w:pPr>
            <w:r>
              <w:rPr>
                <w:rFonts w:ascii="Arial" w:cs="Arial" w:eastAsia="Arial" w:hAnsi="Arial"/>
                <w:sz w:val="14"/>
                <w:szCs w:val="14"/>
                <w:color w:val="auto"/>
              </w:rPr>
              <w:t>7,458</w:t>
            </w:r>
          </w:p>
        </w:tc>
      </w:tr>
      <w:tr>
        <w:trPr>
          <w:trHeight w:val="162"/>
        </w:trPr>
        <w:tc>
          <w:tcPr>
            <w:tcW w:w="420" w:type="dxa"/>
            <w:vAlign w:val="bottom"/>
          </w:tcPr>
          <w:p>
            <w:pPr>
              <w:spacing w:after="0"/>
              <w:rPr>
                <w:sz w:val="14"/>
                <w:szCs w:val="14"/>
                <w:color w:val="auto"/>
              </w:rPr>
            </w:pPr>
          </w:p>
        </w:tc>
        <w:tc>
          <w:tcPr>
            <w:tcW w:w="5620" w:type="dxa"/>
            <w:vAlign w:val="bottom"/>
          </w:tcPr>
          <w:p>
            <w:pPr>
              <w:ind w:left="60"/>
              <w:spacing w:after="0"/>
              <w:rPr>
                <w:sz w:val="20"/>
                <w:szCs w:val="20"/>
                <w:color w:val="auto"/>
              </w:rPr>
            </w:pPr>
            <w:r>
              <w:rPr>
                <w:rFonts w:ascii="Arial" w:cs="Arial" w:eastAsia="Arial" w:hAnsi="Arial"/>
                <w:sz w:val="14"/>
                <w:szCs w:val="14"/>
                <w:color w:val="auto"/>
              </w:rPr>
              <w:t>plans attributable to services rendered during the applicable fiscal year and any prior</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tcPr>
          <w:p>
            <w:pPr>
              <w:ind w:left="60"/>
              <w:spacing w:after="0"/>
              <w:rPr>
                <w:sz w:val="20"/>
                <w:szCs w:val="20"/>
                <w:color w:val="auto"/>
              </w:rPr>
            </w:pPr>
            <w:r>
              <w:rPr>
                <w:rFonts w:ascii="Arial" w:cs="Arial" w:eastAsia="Arial" w:hAnsi="Arial"/>
                <w:sz w:val="14"/>
                <w:szCs w:val="14"/>
                <w:color w:val="auto"/>
              </w:rPr>
              <w:t>service costs, where applicable</w:t>
            </w: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60" w:type="dxa"/>
            <w:vAlign w:val="bottom"/>
            <w:tcBorders>
              <w:bottom w:val="single" w:sz="8" w:color="BCBEC0"/>
            </w:tcBorders>
          </w:tcPr>
          <w:p>
            <w:pPr>
              <w:spacing w:after="0"/>
              <w:rPr>
                <w:sz w:val="14"/>
                <w:szCs w:val="14"/>
                <w:color w:val="auto"/>
              </w:rPr>
            </w:pPr>
          </w:p>
        </w:tc>
        <w:tc>
          <w:tcPr>
            <w:tcW w:w="900" w:type="dxa"/>
            <w:vAlign w:val="bottom"/>
            <w:tcBorders>
              <w:bottom w:val="single" w:sz="8" w:color="BCBEC0"/>
            </w:tcBorders>
          </w:tcPr>
          <w:p>
            <w:pPr>
              <w:spacing w:after="0"/>
              <w:rPr>
                <w:sz w:val="14"/>
                <w:szCs w:val="14"/>
                <w:color w:val="auto"/>
              </w:rPr>
            </w:pPr>
          </w:p>
        </w:tc>
      </w:tr>
      <w:tr>
        <w:trPr>
          <w:trHeight w:val="155"/>
        </w:trPr>
        <w:tc>
          <w:tcPr>
            <w:tcW w:w="6040" w:type="dxa"/>
            <w:vAlign w:val="bottom"/>
            <w:tcBorders>
              <w:bottom w:val="single" w:sz="8" w:color="BCBEC0"/>
            </w:tcBorders>
            <w:gridSpan w:val="2"/>
          </w:tcPr>
          <w:p>
            <w:pPr>
              <w:ind w:left="40"/>
              <w:spacing w:after="0" w:line="155" w:lineRule="exact"/>
              <w:rPr>
                <w:sz w:val="20"/>
                <w:szCs w:val="20"/>
                <w:color w:val="auto"/>
              </w:rPr>
            </w:pPr>
            <w:r>
              <w:rPr>
                <w:rFonts w:ascii="Arial" w:cs="Arial" w:eastAsia="Arial" w:hAnsi="Arial"/>
                <w:sz w:val="14"/>
                <w:szCs w:val="14"/>
                <w:color w:val="auto"/>
              </w:rPr>
              <w:t>Compensation Actually Paid to PEO ($)</w:t>
            </w:r>
          </w:p>
        </w:tc>
        <w:tc>
          <w:tcPr>
            <w:tcW w:w="1000" w:type="dxa"/>
            <w:vAlign w:val="bottom"/>
            <w:tcBorders>
              <w:bottom w:val="single" w:sz="8" w:color="BCBEC0"/>
            </w:tcBorders>
          </w:tcPr>
          <w:p>
            <w:pPr>
              <w:jc w:val="right"/>
              <w:ind w:right="68"/>
              <w:spacing w:after="0" w:line="155" w:lineRule="exact"/>
              <w:rPr>
                <w:sz w:val="20"/>
                <w:szCs w:val="20"/>
                <w:color w:val="auto"/>
              </w:rPr>
            </w:pPr>
            <w:r>
              <w:rPr>
                <w:rFonts w:ascii="Arial" w:cs="Arial" w:eastAsia="Arial" w:hAnsi="Arial"/>
                <w:sz w:val="14"/>
                <w:szCs w:val="14"/>
                <w:color w:val="auto"/>
              </w:rPr>
              <w:t>11,636,745</w:t>
            </w:r>
          </w:p>
        </w:tc>
        <w:tc>
          <w:tcPr>
            <w:tcW w:w="1000" w:type="dxa"/>
            <w:vAlign w:val="bottom"/>
            <w:tcBorders>
              <w:bottom w:val="single" w:sz="8" w:color="BCBEC0"/>
            </w:tcBorders>
          </w:tcPr>
          <w:p>
            <w:pPr>
              <w:jc w:val="right"/>
              <w:ind w:right="68"/>
              <w:spacing w:after="0" w:line="155" w:lineRule="exact"/>
              <w:rPr>
                <w:sz w:val="20"/>
                <w:szCs w:val="20"/>
                <w:color w:val="auto"/>
              </w:rPr>
            </w:pPr>
            <w:r>
              <w:rPr>
                <w:rFonts w:ascii="Arial" w:cs="Arial" w:eastAsia="Arial" w:hAnsi="Arial"/>
                <w:sz w:val="14"/>
                <w:szCs w:val="14"/>
                <w:color w:val="auto"/>
              </w:rPr>
              <w:t>23,267,814</w:t>
            </w:r>
          </w:p>
        </w:tc>
        <w:tc>
          <w:tcPr>
            <w:tcW w:w="1000" w:type="dxa"/>
            <w:vAlign w:val="bottom"/>
            <w:tcBorders>
              <w:bottom w:val="single" w:sz="8" w:color="BCBEC0"/>
            </w:tcBorders>
          </w:tcPr>
          <w:p>
            <w:pPr>
              <w:jc w:val="right"/>
              <w:ind w:right="68"/>
              <w:spacing w:after="0" w:line="155" w:lineRule="exact"/>
              <w:rPr>
                <w:sz w:val="20"/>
                <w:szCs w:val="20"/>
                <w:color w:val="auto"/>
              </w:rPr>
            </w:pPr>
            <w:r>
              <w:rPr>
                <w:rFonts w:ascii="Arial" w:cs="Arial" w:eastAsia="Arial" w:hAnsi="Arial"/>
                <w:sz w:val="14"/>
                <w:szCs w:val="14"/>
                <w:color w:val="auto"/>
              </w:rPr>
              <w:t>25,195,604</w:t>
            </w:r>
          </w:p>
        </w:tc>
        <w:tc>
          <w:tcPr>
            <w:tcW w:w="960" w:type="dxa"/>
            <w:vAlign w:val="bottom"/>
            <w:tcBorders>
              <w:bottom w:val="single" w:sz="8" w:color="BCBEC0"/>
            </w:tcBorders>
          </w:tcPr>
          <w:p>
            <w:pPr>
              <w:jc w:val="right"/>
              <w:ind w:right="28"/>
              <w:spacing w:after="0" w:line="155" w:lineRule="exact"/>
              <w:rPr>
                <w:sz w:val="20"/>
                <w:szCs w:val="20"/>
                <w:color w:val="auto"/>
              </w:rPr>
            </w:pPr>
            <w:r>
              <w:rPr>
                <w:rFonts w:ascii="Arial" w:cs="Arial" w:eastAsia="Arial" w:hAnsi="Arial"/>
                <w:sz w:val="14"/>
                <w:szCs w:val="14"/>
                <w:color w:val="auto"/>
              </w:rPr>
              <w:t>16,337,722</w:t>
            </w:r>
          </w:p>
        </w:tc>
        <w:tc>
          <w:tcPr>
            <w:tcW w:w="900" w:type="dxa"/>
            <w:vAlign w:val="bottom"/>
            <w:tcBorders>
              <w:bottom w:val="single" w:sz="8" w:color="BCBEC0"/>
            </w:tcBorders>
          </w:tcPr>
          <w:p>
            <w:pPr>
              <w:jc w:val="right"/>
              <w:spacing w:after="0" w:line="155" w:lineRule="exact"/>
              <w:rPr>
                <w:sz w:val="20"/>
                <w:szCs w:val="20"/>
                <w:color w:val="auto"/>
              </w:rPr>
            </w:pPr>
            <w:r>
              <w:rPr>
                <w:rFonts w:ascii="Arial" w:cs="Arial" w:eastAsia="Arial" w:hAnsi="Arial"/>
                <w:sz w:val="14"/>
                <w:szCs w:val="14"/>
                <w:color w:val="auto"/>
              </w:rPr>
              <w:t>12,169,471</w:t>
            </w:r>
          </w:p>
        </w:tc>
      </w:tr>
    </w:tbl>
    <w:p>
      <w:pPr>
        <w:spacing w:after="0" w:line="17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72</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61"/>
        </w:trPr>
        <w:tc>
          <w:tcPr>
            <w:tcW w:w="6380" w:type="dxa"/>
            <w:vAlign w:val="bottom"/>
            <w:gridSpan w:val="4"/>
          </w:tcPr>
          <w:p>
            <w:pPr>
              <w:spacing w:after="0"/>
              <w:rPr>
                <w:sz w:val="20"/>
                <w:szCs w:val="20"/>
                <w:color w:val="auto"/>
              </w:rPr>
            </w:pPr>
            <w:r>
              <w:rPr>
                <w:rFonts w:ascii="Arial" w:cs="Arial" w:eastAsia="Arial" w:hAnsi="Arial"/>
                <w:sz w:val="14"/>
                <w:szCs w:val="14"/>
                <w:b w:val="1"/>
                <w:bCs w:val="1"/>
                <w:color w:val="0000EE"/>
              </w:rPr>
              <w:t>Back to Contents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58"/>
        </w:trPr>
        <w:tc>
          <w:tcPr>
            <w:tcW w:w="3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2"/>
        </w:trPr>
        <w:tc>
          <w:tcPr>
            <w:tcW w:w="340" w:type="dxa"/>
            <w:vAlign w:val="bottom"/>
          </w:tcPr>
          <w:p>
            <w:pPr>
              <w:spacing w:after="0"/>
              <w:rPr>
                <w:sz w:val="14"/>
                <w:szCs w:val="14"/>
                <w:color w:val="auto"/>
              </w:rPr>
            </w:pPr>
          </w:p>
        </w:tc>
        <w:tc>
          <w:tcPr>
            <w:tcW w:w="6040" w:type="dxa"/>
            <w:vAlign w:val="bottom"/>
            <w:gridSpan w:val="3"/>
            <w:shd w:val="clear" w:color="auto" w:fill="FFE933"/>
          </w:tcPr>
          <w:p>
            <w:pPr>
              <w:ind w:left="40"/>
              <w:spacing w:after="0"/>
              <w:rPr>
                <w:sz w:val="20"/>
                <w:szCs w:val="20"/>
                <w:color w:val="auto"/>
              </w:rPr>
            </w:pPr>
            <w:r>
              <w:rPr>
                <w:rFonts w:ascii="Arial" w:cs="Arial" w:eastAsia="Arial" w:hAnsi="Arial"/>
                <w:sz w:val="14"/>
                <w:szCs w:val="14"/>
                <w:b w:val="1"/>
                <w:bCs w:val="1"/>
                <w:color w:val="auto"/>
              </w:rPr>
              <w:t>Non-PEO Named Executive Officers</w:t>
            </w:r>
          </w:p>
        </w:tc>
        <w:tc>
          <w:tcPr>
            <w:tcW w:w="1000" w:type="dxa"/>
            <w:vAlign w:val="bottom"/>
            <w:shd w:val="clear" w:color="auto" w:fill="FFE933"/>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1040" w:type="dxa"/>
            <w:vAlign w:val="bottom"/>
            <w:shd w:val="clear" w:color="auto" w:fill="FFE933"/>
          </w:tcPr>
          <w:p>
            <w:pPr>
              <w:jc w:val="right"/>
              <w:ind w:right="108"/>
              <w:spacing w:after="0"/>
              <w:rPr>
                <w:sz w:val="20"/>
                <w:szCs w:val="20"/>
                <w:color w:val="auto"/>
              </w:rPr>
            </w:pPr>
            <w:r>
              <w:rPr>
                <w:rFonts w:ascii="Arial" w:cs="Arial" w:eastAsia="Arial" w:hAnsi="Arial"/>
                <w:sz w:val="14"/>
                <w:szCs w:val="14"/>
                <w:b w:val="1"/>
                <w:bCs w:val="1"/>
                <w:color w:val="auto"/>
              </w:rPr>
              <w:t>2024</w:t>
            </w:r>
          </w:p>
        </w:tc>
        <w:tc>
          <w:tcPr>
            <w:tcW w:w="1000" w:type="dxa"/>
            <w:vAlign w:val="bottom"/>
            <w:shd w:val="clear" w:color="auto" w:fill="FFE933"/>
          </w:tcPr>
          <w:p>
            <w:pPr>
              <w:jc w:val="right"/>
              <w:ind w:right="108"/>
              <w:spacing w:after="0"/>
              <w:rPr>
                <w:sz w:val="20"/>
                <w:szCs w:val="20"/>
                <w:color w:val="auto"/>
              </w:rPr>
            </w:pPr>
            <w:r>
              <w:rPr>
                <w:rFonts w:ascii="Arial" w:cs="Arial" w:eastAsia="Arial" w:hAnsi="Arial"/>
                <w:sz w:val="14"/>
                <w:szCs w:val="14"/>
                <w:b w:val="1"/>
                <w:bCs w:val="1"/>
                <w:color w:val="auto"/>
              </w:rPr>
              <w:t>2023</w:t>
            </w:r>
          </w:p>
        </w:tc>
        <w:tc>
          <w:tcPr>
            <w:tcW w:w="980" w:type="dxa"/>
            <w:vAlign w:val="bottom"/>
            <w:shd w:val="clear" w:color="auto" w:fill="FFE933"/>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840" w:type="dxa"/>
            <w:vAlign w:val="bottom"/>
            <w:shd w:val="clear" w:color="auto" w:fill="FFE933"/>
          </w:tcPr>
          <w:p>
            <w:pPr>
              <w:jc w:val="right"/>
              <w:spacing w:after="0"/>
              <w:rPr>
                <w:sz w:val="20"/>
                <w:szCs w:val="20"/>
                <w:color w:val="auto"/>
              </w:rPr>
            </w:pPr>
            <w:r>
              <w:rPr>
                <w:rFonts w:ascii="Arial" w:cs="Arial" w:eastAsia="Arial" w:hAnsi="Arial"/>
                <w:sz w:val="14"/>
                <w:szCs w:val="14"/>
                <w:b w:val="1"/>
                <w:bCs w:val="1"/>
                <w:color w:val="auto"/>
              </w:rPr>
              <w:t>2021</w:t>
            </w:r>
          </w:p>
        </w:tc>
      </w:tr>
      <w:tr>
        <w:trPr>
          <w:trHeight w:val="162"/>
        </w:trPr>
        <w:tc>
          <w:tcPr>
            <w:tcW w:w="340" w:type="dxa"/>
            <w:vAlign w:val="bottom"/>
          </w:tcPr>
          <w:p>
            <w:pPr>
              <w:spacing w:after="0"/>
              <w:rPr>
                <w:sz w:val="14"/>
                <w:szCs w:val="14"/>
                <w:color w:val="auto"/>
              </w:rPr>
            </w:pPr>
          </w:p>
        </w:tc>
        <w:tc>
          <w:tcPr>
            <w:tcW w:w="6040" w:type="dxa"/>
            <w:vAlign w:val="bottom"/>
            <w:tcBorders>
              <w:bottom w:val="single" w:sz="8" w:color="BCBEC0"/>
            </w:tcBorders>
            <w:gridSpan w:val="3"/>
          </w:tcPr>
          <w:p>
            <w:pPr>
              <w:ind w:left="40"/>
              <w:spacing w:after="0"/>
              <w:rPr>
                <w:sz w:val="20"/>
                <w:szCs w:val="20"/>
                <w:color w:val="auto"/>
              </w:rPr>
            </w:pPr>
            <w:r>
              <w:rPr>
                <w:rFonts w:ascii="Arial" w:cs="Arial" w:eastAsia="Arial" w:hAnsi="Arial"/>
                <w:sz w:val="14"/>
                <w:szCs w:val="14"/>
                <w:color w:val="auto"/>
              </w:rPr>
              <w:t>Summary Compensation Table Total ($)</w:t>
            </w:r>
          </w:p>
        </w:tc>
        <w:tc>
          <w:tcPr>
            <w:tcW w:w="1000" w:type="dxa"/>
            <w:vAlign w:val="bottom"/>
            <w:tcBorders>
              <w:bottom w:val="single" w:sz="8" w:color="BCBEC0"/>
            </w:tcBorders>
          </w:tcPr>
          <w:p>
            <w:pPr>
              <w:jc w:val="right"/>
              <w:ind w:right="68"/>
              <w:spacing w:after="0"/>
              <w:rPr>
                <w:sz w:val="20"/>
                <w:szCs w:val="20"/>
                <w:color w:val="auto"/>
              </w:rPr>
            </w:pPr>
            <w:r>
              <w:rPr>
                <w:rFonts w:ascii="Arial" w:cs="Arial" w:eastAsia="Arial" w:hAnsi="Arial"/>
                <w:sz w:val="14"/>
                <w:szCs w:val="14"/>
                <w:color w:val="auto"/>
              </w:rPr>
              <w:t>2,830,219</w:t>
            </w:r>
          </w:p>
        </w:tc>
        <w:tc>
          <w:tcPr>
            <w:tcW w:w="1040" w:type="dxa"/>
            <w:vAlign w:val="bottom"/>
            <w:tcBorders>
              <w:bottom w:val="single" w:sz="8" w:color="BCBEC0"/>
            </w:tcBorders>
          </w:tcPr>
          <w:p>
            <w:pPr>
              <w:jc w:val="right"/>
              <w:ind w:right="108"/>
              <w:spacing w:after="0"/>
              <w:rPr>
                <w:sz w:val="20"/>
                <w:szCs w:val="20"/>
                <w:color w:val="auto"/>
              </w:rPr>
            </w:pPr>
            <w:r>
              <w:rPr>
                <w:rFonts w:ascii="Arial" w:cs="Arial" w:eastAsia="Arial" w:hAnsi="Arial"/>
                <w:sz w:val="14"/>
                <w:szCs w:val="14"/>
                <w:color w:val="auto"/>
              </w:rPr>
              <w:t>2,724,290</w:t>
            </w:r>
          </w:p>
        </w:tc>
        <w:tc>
          <w:tcPr>
            <w:tcW w:w="1000" w:type="dxa"/>
            <w:vAlign w:val="bottom"/>
            <w:tcBorders>
              <w:bottom w:val="single" w:sz="8" w:color="BCBEC0"/>
            </w:tcBorders>
          </w:tcPr>
          <w:p>
            <w:pPr>
              <w:jc w:val="right"/>
              <w:ind w:right="108"/>
              <w:spacing w:after="0"/>
              <w:rPr>
                <w:sz w:val="20"/>
                <w:szCs w:val="20"/>
                <w:color w:val="auto"/>
              </w:rPr>
            </w:pPr>
            <w:r>
              <w:rPr>
                <w:rFonts w:ascii="Arial" w:cs="Arial" w:eastAsia="Arial" w:hAnsi="Arial"/>
                <w:sz w:val="14"/>
                <w:szCs w:val="14"/>
                <w:color w:val="auto"/>
              </w:rPr>
              <w:t>2,755,598</w:t>
            </w:r>
          </w:p>
        </w:tc>
        <w:tc>
          <w:tcPr>
            <w:tcW w:w="980" w:type="dxa"/>
            <w:vAlign w:val="bottom"/>
            <w:tcBorders>
              <w:bottom w:val="single" w:sz="8" w:color="BCBEC0"/>
            </w:tcBorders>
          </w:tcPr>
          <w:p>
            <w:pPr>
              <w:jc w:val="right"/>
              <w:ind w:right="88"/>
              <w:spacing w:after="0"/>
              <w:rPr>
                <w:sz w:val="20"/>
                <w:szCs w:val="20"/>
                <w:color w:val="auto"/>
              </w:rPr>
            </w:pPr>
            <w:r>
              <w:rPr>
                <w:rFonts w:ascii="Arial" w:cs="Arial" w:eastAsia="Arial" w:hAnsi="Arial"/>
                <w:sz w:val="14"/>
                <w:szCs w:val="14"/>
                <w:color w:val="auto"/>
              </w:rPr>
              <w:t>2,343,695</w:t>
            </w:r>
          </w:p>
        </w:tc>
        <w:tc>
          <w:tcPr>
            <w:tcW w:w="840" w:type="dxa"/>
            <w:vAlign w:val="bottom"/>
            <w:tcBorders>
              <w:bottom w:val="single" w:sz="8" w:color="BCBEC0"/>
            </w:tcBorders>
          </w:tcPr>
          <w:p>
            <w:pPr>
              <w:jc w:val="right"/>
              <w:spacing w:after="0"/>
              <w:rPr>
                <w:sz w:val="20"/>
                <w:szCs w:val="20"/>
                <w:color w:val="auto"/>
              </w:rPr>
            </w:pPr>
            <w:r>
              <w:rPr>
                <w:rFonts w:ascii="Arial" w:cs="Arial" w:eastAsia="Arial" w:hAnsi="Arial"/>
                <w:sz w:val="14"/>
                <w:szCs w:val="14"/>
                <w:color w:val="auto"/>
              </w:rPr>
              <w:t>2,180,790</w:t>
            </w:r>
          </w:p>
        </w:tc>
      </w:tr>
      <w:tr>
        <w:trPr>
          <w:trHeight w:val="146"/>
        </w:trPr>
        <w:tc>
          <w:tcPr>
            <w:tcW w:w="340" w:type="dxa"/>
            <w:vAlign w:val="bottom"/>
          </w:tcPr>
          <w:p>
            <w:pPr>
              <w:spacing w:after="0"/>
              <w:rPr>
                <w:sz w:val="12"/>
                <w:szCs w:val="12"/>
                <w:color w:val="auto"/>
              </w:rPr>
            </w:pPr>
          </w:p>
        </w:tc>
        <w:tc>
          <w:tcPr>
            <w:tcW w:w="604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Less: Aggregate grant date fair value of restricted stock and performance shares granted in</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(1,120,357)</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(1,052,082)</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(645,123)</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(776,747)</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(834,774)</w:t>
            </w: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the applicable year as calculated in accordance with FASB ASC Topic 718</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604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Less: Aggregate grant date fair value of SARs granted in the applicable year as calculated</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(456,284)</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(350,019)</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(307,501)</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(254,992)</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(273,441)</w:t>
            </w: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in accordance with FASB ASC Topic 718</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The fair value as of the end of the fiscal year of unvested equity awards granted in</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2,100,901</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2,365,188</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1,597,127</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1,845,901</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1,709,616</w:t>
            </w: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that year</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The change in fair value during the year of equity awards granted in prior years that</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(69,319)</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1,488,421</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890,754</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623,409</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884,446</w:t>
            </w: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remained outstanding and unvested at the end of the year</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The change in fair value during the year through the vesting date of equity awards</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(106,199)</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186,795</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521,081</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326,729</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257,388</w:t>
            </w: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granted in prior years that vested during that year</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Dividends or other earnings paid in stock or option awards in the covered fiscal year</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62"/>
        </w:trPr>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20" w:type="dxa"/>
            <w:vAlign w:val="bottom"/>
            <w:gridSpan w:val="2"/>
          </w:tcPr>
          <w:p>
            <w:pPr>
              <w:ind w:left="60"/>
              <w:spacing w:after="0"/>
              <w:rPr>
                <w:sz w:val="20"/>
                <w:szCs w:val="20"/>
                <w:color w:val="auto"/>
              </w:rPr>
            </w:pPr>
            <w:r>
              <w:rPr>
                <w:rFonts w:ascii="Arial" w:cs="Arial" w:eastAsia="Arial" w:hAnsi="Arial"/>
                <w:sz w:val="14"/>
                <w:szCs w:val="14"/>
                <w:color w:val="auto"/>
              </w:rPr>
              <w:t>prior to the vesting date that are not otherwise included in the total compensation for</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the covered fiscal year</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Awards that are granted and vest in the same year, the fair value as of the vesting</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date</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604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Less: Aggregate change in the actuarial present value of accumulated benefit under the</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(34,518)</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(26,097)</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retirement plans in which they participate</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604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Less: Awards granted in any prior fiscal year that fail to meet the applicable vesting</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(702,647)</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62"/>
        </w:trPr>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20" w:type="dxa"/>
            <w:vAlign w:val="bottom"/>
            <w:gridSpan w:val="2"/>
          </w:tcPr>
          <w:p>
            <w:pPr>
              <w:ind w:left="60"/>
              <w:spacing w:after="0"/>
              <w:rPr>
                <w:sz w:val="20"/>
                <w:szCs w:val="20"/>
                <w:color w:val="auto"/>
              </w:rPr>
            </w:pPr>
            <w:r>
              <w:rPr>
                <w:rFonts w:ascii="Arial" w:cs="Arial" w:eastAsia="Arial" w:hAnsi="Arial"/>
                <w:sz w:val="14"/>
                <w:szCs w:val="14"/>
                <w:color w:val="auto"/>
              </w:rPr>
              <w:t>conditions during the covered fiscal year, the amount equal to the fair value at the</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end of the prior fiscal year</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46"/>
        </w:trPr>
        <w:tc>
          <w:tcPr>
            <w:tcW w:w="340" w:type="dxa"/>
            <w:vAlign w:val="bottom"/>
          </w:tcPr>
          <w:p>
            <w:pPr>
              <w:spacing w:after="0"/>
              <w:rPr>
                <w:sz w:val="12"/>
                <w:szCs w:val="12"/>
                <w:color w:val="auto"/>
              </w:rPr>
            </w:pPr>
          </w:p>
        </w:tc>
        <w:tc>
          <w:tcPr>
            <w:tcW w:w="420" w:type="dxa"/>
            <w:vAlign w:val="bottom"/>
          </w:tcPr>
          <w:p>
            <w:pPr>
              <w:ind w:left="40"/>
              <w:spacing w:after="0" w:line="147" w:lineRule="exact"/>
              <w:rPr>
                <w:sz w:val="20"/>
                <w:szCs w:val="20"/>
                <w:color w:val="auto"/>
              </w:rPr>
            </w:pPr>
            <w:r>
              <w:rPr>
                <w:rFonts w:ascii="Arial" w:cs="Arial" w:eastAsia="Arial" w:hAnsi="Arial"/>
                <w:sz w:val="14"/>
                <w:szCs w:val="14"/>
                <w:color w:val="auto"/>
              </w:rPr>
              <w:t>Plus:</w:t>
            </w:r>
          </w:p>
        </w:tc>
        <w:tc>
          <w:tcPr>
            <w:tcW w:w="5620" w:type="dxa"/>
            <w:vAlign w:val="bottom"/>
            <w:gridSpan w:val="2"/>
          </w:tcPr>
          <w:p>
            <w:pPr>
              <w:ind w:left="60"/>
              <w:spacing w:after="0" w:line="147" w:lineRule="exact"/>
              <w:rPr>
                <w:sz w:val="20"/>
                <w:szCs w:val="20"/>
                <w:color w:val="auto"/>
              </w:rPr>
            </w:pPr>
            <w:r>
              <w:rPr>
                <w:rFonts w:ascii="Arial" w:cs="Arial" w:eastAsia="Arial" w:hAnsi="Arial"/>
                <w:sz w:val="14"/>
                <w:szCs w:val="14"/>
                <w:color w:val="auto"/>
              </w:rPr>
              <w:t>Service costs, or the actuarial present value of applicable benefit under all such</w:t>
            </w:r>
          </w:p>
        </w:tc>
        <w:tc>
          <w:tcPr>
            <w:tcW w:w="1000" w:type="dxa"/>
            <w:vAlign w:val="bottom"/>
          </w:tcPr>
          <w:p>
            <w:pPr>
              <w:jc w:val="right"/>
              <w:ind w:right="68"/>
              <w:spacing w:after="0" w:line="147" w:lineRule="exact"/>
              <w:rPr>
                <w:sz w:val="20"/>
                <w:szCs w:val="20"/>
                <w:color w:val="auto"/>
              </w:rPr>
            </w:pPr>
            <w:r>
              <w:rPr>
                <w:rFonts w:ascii="Arial" w:cs="Arial" w:eastAsia="Arial" w:hAnsi="Arial"/>
                <w:sz w:val="14"/>
                <w:szCs w:val="14"/>
                <w:color w:val="auto"/>
              </w:rPr>
              <w:t>—</w:t>
            </w:r>
          </w:p>
        </w:tc>
        <w:tc>
          <w:tcPr>
            <w:tcW w:w="104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line="147" w:lineRule="exact"/>
              <w:rPr>
                <w:sz w:val="20"/>
                <w:szCs w:val="20"/>
                <w:color w:val="auto"/>
              </w:rPr>
            </w:pPr>
            <w:r>
              <w:rPr>
                <w:rFonts w:ascii="Arial" w:cs="Arial" w:eastAsia="Arial" w:hAnsi="Arial"/>
                <w:sz w:val="14"/>
                <w:szCs w:val="14"/>
                <w:color w:val="auto"/>
              </w:rPr>
              <w:t>—</w:t>
            </w:r>
          </w:p>
        </w:tc>
        <w:tc>
          <w:tcPr>
            <w:tcW w:w="980" w:type="dxa"/>
            <w:vAlign w:val="bottom"/>
          </w:tcPr>
          <w:p>
            <w:pPr>
              <w:jc w:val="right"/>
              <w:ind w:right="88"/>
              <w:spacing w:after="0" w:line="147"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7" w:lineRule="exact"/>
              <w:rPr>
                <w:sz w:val="20"/>
                <w:szCs w:val="20"/>
                <w:color w:val="auto"/>
              </w:rPr>
            </w:pPr>
            <w:r>
              <w:rPr>
                <w:rFonts w:ascii="Arial" w:cs="Arial" w:eastAsia="Arial" w:hAnsi="Arial"/>
                <w:sz w:val="14"/>
                <w:szCs w:val="14"/>
                <w:color w:val="auto"/>
              </w:rPr>
              <w:t>—</w:t>
            </w:r>
          </w:p>
        </w:tc>
      </w:tr>
      <w:tr>
        <w:trPr>
          <w:trHeight w:val="162"/>
        </w:trPr>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20" w:type="dxa"/>
            <w:vAlign w:val="bottom"/>
            <w:gridSpan w:val="2"/>
          </w:tcPr>
          <w:p>
            <w:pPr>
              <w:ind w:left="60"/>
              <w:spacing w:after="0"/>
              <w:rPr>
                <w:sz w:val="20"/>
                <w:szCs w:val="20"/>
                <w:color w:val="auto"/>
              </w:rPr>
            </w:pPr>
            <w:r>
              <w:rPr>
                <w:rFonts w:ascii="Arial" w:cs="Arial" w:eastAsia="Arial" w:hAnsi="Arial"/>
                <w:sz w:val="14"/>
                <w:szCs w:val="14"/>
                <w:color w:val="auto"/>
              </w:rPr>
              <w:t>plans attributable to services rendered during the applicable fiscal year and any prior</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340" w:type="dxa"/>
            <w:vAlign w:val="bottom"/>
          </w:tcPr>
          <w:p>
            <w:pPr>
              <w:spacing w:after="0"/>
              <w:rPr>
                <w:sz w:val="14"/>
                <w:szCs w:val="14"/>
                <w:color w:val="auto"/>
              </w:rPr>
            </w:pPr>
          </w:p>
        </w:tc>
        <w:tc>
          <w:tcPr>
            <w:tcW w:w="420" w:type="dxa"/>
            <w:vAlign w:val="bottom"/>
            <w:tcBorders>
              <w:bottom w:val="single" w:sz="8" w:color="BCBEC0"/>
            </w:tcBorders>
          </w:tcPr>
          <w:p>
            <w:pPr>
              <w:spacing w:after="0"/>
              <w:rPr>
                <w:sz w:val="14"/>
                <w:szCs w:val="14"/>
                <w:color w:val="auto"/>
              </w:rPr>
            </w:pPr>
          </w:p>
        </w:tc>
        <w:tc>
          <w:tcPr>
            <w:tcW w:w="5620" w:type="dxa"/>
            <w:vAlign w:val="bottom"/>
            <w:tcBorders>
              <w:bottom w:val="single" w:sz="8" w:color="BCBEC0"/>
            </w:tcBorders>
            <w:gridSpan w:val="2"/>
          </w:tcPr>
          <w:p>
            <w:pPr>
              <w:ind w:left="60"/>
              <w:spacing w:after="0"/>
              <w:rPr>
                <w:sz w:val="20"/>
                <w:szCs w:val="20"/>
                <w:color w:val="auto"/>
              </w:rPr>
            </w:pPr>
            <w:r>
              <w:rPr>
                <w:rFonts w:ascii="Arial" w:cs="Arial" w:eastAsia="Arial" w:hAnsi="Arial"/>
                <w:sz w:val="14"/>
                <w:szCs w:val="14"/>
                <w:color w:val="auto"/>
              </w:rPr>
              <w:t>service costs, where applicable</w:t>
            </w:r>
          </w:p>
        </w:tc>
        <w:tc>
          <w:tcPr>
            <w:tcW w:w="1000" w:type="dxa"/>
            <w:vAlign w:val="bottom"/>
            <w:tcBorders>
              <w:bottom w:val="single" w:sz="8" w:color="BCBEC0"/>
            </w:tcBorders>
          </w:tcPr>
          <w:p>
            <w:pPr>
              <w:spacing w:after="0"/>
              <w:rPr>
                <w:sz w:val="14"/>
                <w:szCs w:val="14"/>
                <w:color w:val="auto"/>
              </w:rPr>
            </w:pPr>
          </w:p>
        </w:tc>
        <w:tc>
          <w:tcPr>
            <w:tcW w:w="1040" w:type="dxa"/>
            <w:vAlign w:val="bottom"/>
            <w:tcBorders>
              <w:bottom w:val="single" w:sz="8" w:color="BCBEC0"/>
            </w:tcBorders>
          </w:tcPr>
          <w:p>
            <w:pPr>
              <w:spacing w:after="0"/>
              <w:rPr>
                <w:sz w:val="14"/>
                <w:szCs w:val="14"/>
                <w:color w:val="auto"/>
              </w:rPr>
            </w:pPr>
          </w:p>
        </w:tc>
        <w:tc>
          <w:tcPr>
            <w:tcW w:w="1000" w:type="dxa"/>
            <w:vAlign w:val="bottom"/>
            <w:tcBorders>
              <w:bottom w:val="single" w:sz="8" w:color="BCBEC0"/>
            </w:tcBorders>
          </w:tcPr>
          <w:p>
            <w:pPr>
              <w:spacing w:after="0"/>
              <w:rPr>
                <w:sz w:val="14"/>
                <w:szCs w:val="14"/>
                <w:color w:val="auto"/>
              </w:rPr>
            </w:pPr>
          </w:p>
        </w:tc>
        <w:tc>
          <w:tcPr>
            <w:tcW w:w="980" w:type="dxa"/>
            <w:vAlign w:val="bottom"/>
            <w:tcBorders>
              <w:bottom w:val="single" w:sz="8" w:color="BCBEC0"/>
            </w:tcBorders>
          </w:tcPr>
          <w:p>
            <w:pPr>
              <w:spacing w:after="0"/>
              <w:rPr>
                <w:sz w:val="14"/>
                <w:szCs w:val="14"/>
                <w:color w:val="auto"/>
              </w:rPr>
            </w:pPr>
          </w:p>
        </w:tc>
        <w:tc>
          <w:tcPr>
            <w:tcW w:w="840" w:type="dxa"/>
            <w:vAlign w:val="bottom"/>
            <w:tcBorders>
              <w:bottom w:val="single" w:sz="8" w:color="BCBEC0"/>
            </w:tcBorders>
          </w:tcPr>
          <w:p>
            <w:pPr>
              <w:spacing w:after="0"/>
              <w:rPr>
                <w:sz w:val="14"/>
                <w:szCs w:val="14"/>
                <w:color w:val="auto"/>
              </w:rPr>
            </w:pPr>
          </w:p>
        </w:tc>
      </w:tr>
      <w:tr>
        <w:trPr>
          <w:trHeight w:val="156"/>
        </w:trPr>
        <w:tc>
          <w:tcPr>
            <w:tcW w:w="340" w:type="dxa"/>
            <w:vAlign w:val="bottom"/>
          </w:tcPr>
          <w:p>
            <w:pPr>
              <w:spacing w:after="0"/>
              <w:rPr>
                <w:sz w:val="13"/>
                <w:szCs w:val="13"/>
                <w:color w:val="auto"/>
              </w:rPr>
            </w:pPr>
          </w:p>
        </w:tc>
        <w:tc>
          <w:tcPr>
            <w:tcW w:w="6040" w:type="dxa"/>
            <w:vAlign w:val="bottom"/>
            <w:tcBorders>
              <w:bottom w:val="single" w:sz="8" w:color="BCBEC0"/>
            </w:tcBorders>
            <w:gridSpan w:val="3"/>
          </w:tcPr>
          <w:p>
            <w:pPr>
              <w:ind w:left="40"/>
              <w:spacing w:after="0" w:line="155" w:lineRule="exact"/>
              <w:rPr>
                <w:sz w:val="20"/>
                <w:szCs w:val="20"/>
                <w:color w:val="auto"/>
              </w:rPr>
            </w:pPr>
            <w:r>
              <w:rPr>
                <w:rFonts w:ascii="Arial" w:cs="Arial" w:eastAsia="Arial" w:hAnsi="Arial"/>
                <w:sz w:val="14"/>
                <w:szCs w:val="14"/>
                <w:color w:val="auto"/>
              </w:rPr>
              <w:t>Compensation Actually Paid to Non-PEO Named Executive Officers ($)</w:t>
            </w:r>
          </w:p>
        </w:tc>
        <w:tc>
          <w:tcPr>
            <w:tcW w:w="1000" w:type="dxa"/>
            <w:vAlign w:val="bottom"/>
            <w:tcBorders>
              <w:bottom w:val="single" w:sz="8" w:color="BCBEC0"/>
            </w:tcBorders>
          </w:tcPr>
          <w:p>
            <w:pPr>
              <w:jc w:val="right"/>
              <w:ind w:right="68"/>
              <w:spacing w:after="0" w:line="155" w:lineRule="exact"/>
              <w:rPr>
                <w:sz w:val="20"/>
                <w:szCs w:val="20"/>
                <w:color w:val="auto"/>
              </w:rPr>
            </w:pPr>
            <w:r>
              <w:rPr>
                <w:rFonts w:ascii="Arial" w:cs="Arial" w:eastAsia="Arial" w:hAnsi="Arial"/>
                <w:sz w:val="14"/>
                <w:szCs w:val="14"/>
                <w:color w:val="auto"/>
              </w:rPr>
              <w:t>3,144,443</w:t>
            </w:r>
          </w:p>
        </w:tc>
        <w:tc>
          <w:tcPr>
            <w:tcW w:w="1040" w:type="dxa"/>
            <w:vAlign w:val="bottom"/>
            <w:tcBorders>
              <w:bottom w:val="single" w:sz="8" w:color="BCBEC0"/>
            </w:tcBorders>
          </w:tcPr>
          <w:p>
            <w:pPr>
              <w:jc w:val="right"/>
              <w:ind w:right="108"/>
              <w:spacing w:after="0" w:line="155" w:lineRule="exact"/>
              <w:rPr>
                <w:sz w:val="20"/>
                <w:szCs w:val="20"/>
                <w:color w:val="auto"/>
              </w:rPr>
            </w:pPr>
            <w:r>
              <w:rPr>
                <w:rFonts w:ascii="Arial" w:cs="Arial" w:eastAsia="Arial" w:hAnsi="Arial"/>
                <w:sz w:val="14"/>
                <w:szCs w:val="14"/>
                <w:color w:val="auto"/>
              </w:rPr>
              <w:t>5,336,496</w:t>
            </w:r>
          </w:p>
        </w:tc>
        <w:tc>
          <w:tcPr>
            <w:tcW w:w="1000" w:type="dxa"/>
            <w:vAlign w:val="bottom"/>
            <w:tcBorders>
              <w:bottom w:val="single" w:sz="8" w:color="BCBEC0"/>
            </w:tcBorders>
          </w:tcPr>
          <w:p>
            <w:pPr>
              <w:jc w:val="right"/>
              <w:ind w:right="108"/>
              <w:spacing w:after="0" w:line="155" w:lineRule="exact"/>
              <w:rPr>
                <w:sz w:val="20"/>
                <w:szCs w:val="20"/>
                <w:color w:val="auto"/>
              </w:rPr>
            </w:pPr>
            <w:r>
              <w:rPr>
                <w:rFonts w:ascii="Arial" w:cs="Arial" w:eastAsia="Arial" w:hAnsi="Arial"/>
                <w:sz w:val="14"/>
                <w:szCs w:val="14"/>
                <w:color w:val="auto"/>
              </w:rPr>
              <w:t>4,109,289</w:t>
            </w:r>
          </w:p>
        </w:tc>
        <w:tc>
          <w:tcPr>
            <w:tcW w:w="980" w:type="dxa"/>
            <w:vAlign w:val="bottom"/>
            <w:tcBorders>
              <w:bottom w:val="single" w:sz="8" w:color="BCBEC0"/>
            </w:tcBorders>
          </w:tcPr>
          <w:p>
            <w:pPr>
              <w:jc w:val="right"/>
              <w:ind w:right="88"/>
              <w:spacing w:after="0" w:line="155" w:lineRule="exact"/>
              <w:rPr>
                <w:sz w:val="20"/>
                <w:szCs w:val="20"/>
                <w:color w:val="auto"/>
              </w:rPr>
            </w:pPr>
            <w:r>
              <w:rPr>
                <w:rFonts w:ascii="Arial" w:cs="Arial" w:eastAsia="Arial" w:hAnsi="Arial"/>
                <w:sz w:val="14"/>
                <w:szCs w:val="14"/>
                <w:color w:val="auto"/>
              </w:rPr>
              <w:t>4,107,995</w:t>
            </w:r>
          </w:p>
        </w:tc>
        <w:tc>
          <w:tcPr>
            <w:tcW w:w="840" w:type="dxa"/>
            <w:vAlign w:val="bottom"/>
            <w:tcBorders>
              <w:bottom w:val="single" w:sz="8" w:color="BCBEC0"/>
            </w:tcBorders>
          </w:tcPr>
          <w:p>
            <w:pPr>
              <w:jc w:val="right"/>
              <w:spacing w:after="0" w:line="155" w:lineRule="exact"/>
              <w:rPr>
                <w:sz w:val="20"/>
                <w:szCs w:val="20"/>
                <w:color w:val="auto"/>
              </w:rPr>
            </w:pPr>
            <w:r>
              <w:rPr>
                <w:rFonts w:ascii="Arial" w:cs="Arial" w:eastAsia="Arial" w:hAnsi="Arial"/>
                <w:sz w:val="14"/>
                <w:szCs w:val="14"/>
                <w:color w:val="auto"/>
              </w:rPr>
              <w:t>3,924,025</w:t>
            </w:r>
          </w:p>
        </w:tc>
      </w:tr>
    </w:tbl>
    <w:p>
      <w:pPr>
        <w:spacing w:after="0" w:line="60" w:lineRule="exact"/>
        <w:rPr>
          <w:sz w:val="20"/>
          <w:szCs w:val="20"/>
          <w:color w:val="auto"/>
        </w:rPr>
      </w:pPr>
    </w:p>
    <w:p>
      <w:pPr>
        <w:ind w:left="340" w:hanging="332"/>
        <w:spacing w:after="0" w:line="192" w:lineRule="auto"/>
        <w:tabs>
          <w:tab w:leader="none" w:pos="340" w:val="left"/>
        </w:tabs>
        <w:numPr>
          <w:ilvl w:val="0"/>
          <w:numId w:val="8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Dollar values assume $100 was invested for the cumulative period from December 31, 2020 through December 31, 2025, in either the Company or the Peer Group, and reinvestment of the pre-tax value of dividends paid. Historical stock performance is not necessarily indicative of future stock performance.</w:t>
      </w:r>
    </w:p>
    <w:p>
      <w:pPr>
        <w:ind w:left="340" w:hanging="332"/>
        <w:spacing w:after="0" w:line="199" w:lineRule="auto"/>
        <w:tabs>
          <w:tab w:leader="none" w:pos="340" w:val="left"/>
        </w:tabs>
        <w:numPr>
          <w:ilvl w:val="0"/>
          <w:numId w:val="8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For purposes of this disclosure, the Peer Group used is the Dow Jones U.S. Electrical Components &amp; Equipment Index.</w:t>
      </w:r>
    </w:p>
    <w:p>
      <w:pPr>
        <w:spacing w:after="0" w:line="53" w:lineRule="exact"/>
        <w:rPr>
          <w:rFonts w:ascii="Arial" w:cs="Arial" w:eastAsia="Arial" w:hAnsi="Arial"/>
          <w:sz w:val="24"/>
          <w:szCs w:val="24"/>
          <w:i w:val="1"/>
          <w:iCs w:val="1"/>
          <w:color w:val="auto"/>
          <w:vertAlign w:val="superscript"/>
        </w:rPr>
      </w:pPr>
    </w:p>
    <w:p>
      <w:pPr>
        <w:ind w:left="340" w:hanging="332"/>
        <w:spacing w:after="0" w:line="183" w:lineRule="auto"/>
        <w:tabs>
          <w:tab w:leader="none" w:pos="340" w:val="left"/>
        </w:tabs>
        <w:numPr>
          <w:ilvl w:val="0"/>
          <w:numId w:val="84"/>
        </w:numPr>
        <w:rPr>
          <w:rFonts w:ascii="Arial" w:cs="Arial" w:eastAsia="Arial" w:hAnsi="Arial"/>
          <w:sz w:val="20"/>
          <w:szCs w:val="20"/>
          <w:i w:val="1"/>
          <w:iCs w:val="1"/>
          <w:color w:val="auto"/>
          <w:vertAlign w:val="superscript"/>
        </w:rPr>
      </w:pPr>
      <w:r>
        <w:rPr>
          <w:rFonts w:ascii="Arial" w:cs="Arial" w:eastAsia="Arial" w:hAnsi="Arial"/>
          <w:sz w:val="12"/>
          <w:szCs w:val="12"/>
          <w:i w:val="1"/>
          <w:iCs w:val="1"/>
          <w:color w:val="auto"/>
        </w:rPr>
        <w:t>Net Income Attributable to Hubbell and Adjusted Diluted EPS are calculated as set forth in our Annual Report on Form 10-K for the applicable year.</w:t>
      </w:r>
    </w:p>
    <w:p>
      <w:pPr>
        <w:spacing w:after="0" w:line="54" w:lineRule="exact"/>
        <w:rPr>
          <w:rFonts w:ascii="Arial" w:cs="Arial" w:eastAsia="Arial" w:hAnsi="Arial"/>
          <w:sz w:val="20"/>
          <w:szCs w:val="20"/>
          <w:i w:val="1"/>
          <w:iCs w:val="1"/>
          <w:color w:val="auto"/>
          <w:vertAlign w:val="superscript"/>
        </w:rPr>
      </w:pPr>
    </w:p>
    <w:p>
      <w:pPr>
        <w:jc w:val="both"/>
        <w:ind w:left="340" w:hanging="332"/>
        <w:spacing w:after="0" w:line="200" w:lineRule="auto"/>
        <w:tabs>
          <w:tab w:leader="none" w:pos="340" w:val="left"/>
        </w:tabs>
        <w:numPr>
          <w:ilvl w:val="0"/>
          <w:numId w:val="84"/>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Diluted EPS” was determined to be the “most important” financial performance metric used to link performance to CAP for 2025. Adjusted Diluted EPS is a non-GAAP financial measure. A reconciliation to the comparable GAAP financial measure can be found in Management’s Discussion and Analysis of Financial Condition and Results of Operations in our Annual Report on Form 10-K for the year ended December 31, 2025, filed with the SEC on February 12, 2026.</w:t>
      </w:r>
    </w:p>
    <w:p>
      <w:pPr>
        <w:spacing w:after="0" w:line="131" w:lineRule="exact"/>
        <w:rPr>
          <w:sz w:val="20"/>
          <w:szCs w:val="20"/>
          <w:color w:val="auto"/>
        </w:rPr>
      </w:pPr>
    </w:p>
    <w:p>
      <w:pPr>
        <w:ind w:left="8780"/>
        <w:spacing w:after="0"/>
        <w:tabs>
          <w:tab w:leader="none" w:pos="1104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5"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Most Important Measures to Determine CAP for the fiscal year ended December 31, 2025</w:t>
      </w:r>
    </w:p>
    <w:p>
      <w:pPr>
        <w:spacing w:after="0" w:line="189"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four measures listed in the table below represent the most important metrics we used to determine CAP for the fiscal year ended December 31, 2025, as further described in the CD&amp;A section beginning on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543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6"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Most Important Measures</w:t>
      </w:r>
    </w:p>
    <w:p>
      <w:pPr>
        <w:spacing w:after="0" w:line="60" w:lineRule="exact"/>
        <w:rPr>
          <w:sz w:val="20"/>
          <w:szCs w:val="20"/>
          <w:color w:val="auto"/>
        </w:rPr>
      </w:pPr>
    </w:p>
    <w:p>
      <w:pPr>
        <w:ind w:left="3980"/>
        <w:spacing w:after="0"/>
        <w:rPr>
          <w:sz w:val="20"/>
          <w:szCs w:val="20"/>
          <w:color w:val="auto"/>
        </w:rPr>
      </w:pPr>
      <w:r>
        <w:rPr>
          <w:rFonts w:ascii="Arial" w:cs="Arial" w:eastAsia="Arial" w:hAnsi="Arial"/>
          <w:sz w:val="16"/>
          <w:szCs w:val="16"/>
          <w:color w:val="auto"/>
        </w:rPr>
        <w:t>Adjusted Diluted Earnings Per Share (EPS)</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6"/>
          <w:szCs w:val="16"/>
          <w:color w:val="auto"/>
        </w:rPr>
        <w:t>Relative Sales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0"/>
          <w:szCs w:val="20"/>
          <w:color w:val="auto"/>
        </w:rPr>
      </w:pPr>
    </w:p>
    <w:p>
      <w:pPr>
        <w:ind w:left="4360"/>
        <w:spacing w:after="0"/>
        <w:rPr>
          <w:sz w:val="20"/>
          <w:szCs w:val="20"/>
          <w:color w:val="auto"/>
        </w:rPr>
      </w:pPr>
      <w:r>
        <w:rPr>
          <w:rFonts w:ascii="Arial" w:cs="Arial" w:eastAsia="Arial" w:hAnsi="Arial"/>
          <w:sz w:val="16"/>
          <w:szCs w:val="16"/>
          <w:color w:val="auto"/>
        </w:rPr>
        <w:t>Adjusted Operating Profit Margin</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13232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6"/>
          <w:szCs w:val="16"/>
          <w:color w:val="auto"/>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graphic illustration of the connection between pay and performance:</w:t>
      </w:r>
    </w:p>
    <w:p>
      <w:pPr>
        <w:sectPr>
          <w:pgSz w:w="11900" w:h="16838" w:orient="portrait"/>
          <w:cols w:equalWidth="0" w:num="1">
            <w:col w:w="11240"/>
          </w:cols>
          <w:pgMar w:left="320" w:top="238" w:right="339" w:bottom="1440" w:gutter="0" w:footer="0" w:header="0"/>
        </w:sectPr>
      </w:pPr>
    </w:p>
    <w:p>
      <w:pPr>
        <w:spacing w:after="0" w:line="383" w:lineRule="exact"/>
        <w:rPr>
          <w:sz w:val="20"/>
          <w:szCs w:val="20"/>
          <w:color w:val="auto"/>
        </w:rPr>
      </w:pPr>
    </w:p>
    <w:p>
      <w:pPr>
        <w:jc w:val="center"/>
        <w:ind w:right="1080"/>
        <w:spacing w:after="0"/>
        <w:rPr>
          <w:sz w:val="20"/>
          <w:szCs w:val="20"/>
          <w:color w:val="auto"/>
        </w:rPr>
      </w:pPr>
      <w:r>
        <w:rPr>
          <w:rFonts w:ascii="Arial" w:cs="Arial" w:eastAsia="Arial" w:hAnsi="Arial"/>
          <w:sz w:val="16"/>
          <w:szCs w:val="16"/>
          <w:b w:val="1"/>
          <w:bCs w:val="1"/>
          <w:color w:val="auto"/>
        </w:rPr>
        <w:t>Compensation Actually Paid vs.</w:t>
      </w:r>
    </w:p>
    <w:p>
      <w:pPr>
        <w:spacing w:after="0" w:line="21" w:lineRule="exact"/>
        <w:rPr>
          <w:sz w:val="20"/>
          <w:szCs w:val="20"/>
          <w:color w:val="auto"/>
        </w:rPr>
      </w:pPr>
    </w:p>
    <w:p>
      <w:pPr>
        <w:jc w:val="center"/>
        <w:ind w:right="1080"/>
        <w:spacing w:after="0"/>
        <w:rPr>
          <w:sz w:val="20"/>
          <w:szCs w:val="20"/>
          <w:color w:val="auto"/>
        </w:rPr>
      </w:pPr>
      <w:r>
        <w:rPr>
          <w:rFonts w:ascii="Arial" w:cs="Arial" w:eastAsia="Arial" w:hAnsi="Arial"/>
          <w:sz w:val="16"/>
          <w:szCs w:val="16"/>
          <w:b w:val="1"/>
          <w:bCs w:val="1"/>
          <w:color w:val="auto"/>
        </w:rPr>
        <w:t>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53340</wp:posOffset>
            </wp:positionV>
            <wp:extent cx="3000375" cy="218630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000375" cy="2186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auto"/>
        </w:rPr>
        <w:t>Compensation Actually Paid vs.</w:t>
      </w:r>
    </w:p>
    <w:p>
      <w:pPr>
        <w:spacing w:after="0" w:line="21" w:lineRule="exact"/>
        <w:rPr>
          <w:sz w:val="20"/>
          <w:szCs w:val="20"/>
          <w:color w:val="auto"/>
        </w:rPr>
      </w:pPr>
    </w:p>
    <w:p>
      <w:pPr>
        <w:jc w:val="center"/>
        <w:ind w:right="1360"/>
        <w:spacing w:after="0"/>
        <w:rPr>
          <w:sz w:val="20"/>
          <w:szCs w:val="20"/>
          <w:color w:val="auto"/>
        </w:rPr>
      </w:pPr>
      <w:r>
        <w:rPr>
          <w:rFonts w:ascii="Arial" w:cs="Arial" w:eastAsia="Arial" w:hAnsi="Arial"/>
          <w:sz w:val="16"/>
          <w:szCs w:val="16"/>
          <w:b w:val="1"/>
          <w:bCs w:val="1"/>
          <w:color w:val="auto"/>
        </w:rPr>
        <w:t>Net Income Attributable to Hubbell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53340</wp:posOffset>
            </wp:positionV>
            <wp:extent cx="3000375" cy="219456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000375" cy="2194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00" w:space="720"/>
            <w:col w:w="4020"/>
          </w:cols>
          <w:pgMar w:left="320" w:top="23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Compensation Actually Paid vs.</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Adjusted Diluted EPS</w:t>
      </w:r>
      <w:r>
        <w:rPr>
          <w:rFonts w:ascii="Arial" w:cs="Arial" w:eastAsia="Arial" w:hAnsi="Arial"/>
          <w:sz w:val="26"/>
          <w:szCs w:val="26"/>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7620</wp:posOffset>
            </wp:positionV>
            <wp:extent cx="3000375" cy="218567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00037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340" w:hanging="332"/>
        <w:spacing w:after="0" w:line="205" w:lineRule="auto"/>
        <w:tabs>
          <w:tab w:leader="none" w:pos="340" w:val="left"/>
        </w:tabs>
        <w:numPr>
          <w:ilvl w:val="0"/>
          <w:numId w:val="85"/>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Adjusted diluted earnings per share and adjusted operating profit margin are non-GAAP financial measures. A reconciliation to the comparable GAAP financial measures can be found in Management’s Discussion and Analysis of Financial Condition and Results of Operations in our Annual Report on Form 10-K for the year ended December 31, 2025, filed with the SEC on February 12, 2026.</w:t>
      </w:r>
    </w:p>
    <w:p>
      <w:pPr>
        <w:spacing w:after="0" w:line="1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disclosure included in this “Pay Versus Performance” section is not incorporated by reference in Part III of the Company’s Annual Report on Form 10-K for the year ended December 31, 2025.</w:t>
      </w:r>
    </w:p>
    <w:p>
      <w:pPr>
        <w:spacing w:after="0" w:line="12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74</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84340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32320" cy="184340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Arial" w:cs="Arial" w:eastAsia="Arial" w:hAnsi="Arial"/>
          <w:sz w:val="32"/>
          <w:szCs w:val="32"/>
          <w:b w:val="1"/>
          <w:bCs w:val="1"/>
          <w:color w:val="auto"/>
        </w:rPr>
        <w:t>Proposal 3</w:t>
      </w:r>
    </w:p>
    <w:p>
      <w:pPr>
        <w:spacing w:after="0" w:line="46" w:lineRule="exact"/>
        <w:rPr>
          <w:sz w:val="20"/>
          <w:szCs w:val="20"/>
          <w:color w:val="auto"/>
        </w:rPr>
      </w:pPr>
    </w:p>
    <w:p>
      <w:pPr>
        <w:ind w:left="340" w:right="3020"/>
        <w:spacing w:after="0" w:line="245" w:lineRule="auto"/>
        <w:rPr>
          <w:sz w:val="20"/>
          <w:szCs w:val="20"/>
          <w:color w:val="auto"/>
        </w:rPr>
      </w:pPr>
      <w:r>
        <w:rPr>
          <w:rFonts w:ascii="Arial" w:cs="Arial" w:eastAsia="Arial" w:hAnsi="Arial"/>
          <w:sz w:val="58"/>
          <w:szCs w:val="58"/>
          <w:color w:val="auto"/>
        </w:rPr>
        <w:t>Ratification of the Selection of Independent Registered Public Accounting Firm</w:t>
      </w:r>
    </w:p>
    <w:p>
      <w:pPr>
        <w:spacing w:after="0" w:line="382"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Audit Committee of the Board of Directors, which consists entirely of independent Directors, is responsible for the appointment, compensation, retention, evaluation, and termination of the Company’s independent registered public accounting firm (independent auditor).</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Audit Committee has appointed PricewaterhouseCoopers LLP as the Company’s independent auditor for 2026. PricewaterhouseCoopers LLP has served as the Company’s independent auditors since at least 1961. The Audit Committee periodically considers whether there should be a regular rotation of the independent auditor. The Audit Committee and Hubbell’s Board of Directors believe that the continued retention of PricewaterhouseCoopers LLP to serve as the Company’s independent external audit firm for 2026 is in the best interests of the Company and its shareholders.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Audit Committee engages in an annual evaluation of the independent auditor’s qualifications, performance, and independence. In addition, the Audit Committee regularly meets with the lead audit partner without members of management present, which provides the opportunity for continuous assessment of the independent auditor’s effectiveness and independence and for consideration of rotating audit firms.</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accordance with SEC rules, the independent auditor’s lead engagement partner rotates every five years. The Audit Committee is directly involved in the selection of the independent auditor’s lead engagement partner.</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 representative of PricewaterhouseCoopers LLP will attend the 2026 Annual Meeting of Shareholders to respond to appropriate questions and, if desired, to make a statement.</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Although ratification of our selection of independent auditors is not required, we value the opinions of our shareholders and wish to submit the matter to a vote at the 2026 Annual Meeting as a matter of sound corporate governance. In the event the selection of PricewaterhouseCoopers LLP is not ratified by the shareholders, the Audit Committee will reconsider the selection of PricewaterhouseCoopers LLP as the Company’s independent auditor. Even if the selection of independent auditors is ratified, the Audit Committee retains the discretion to select a different independent auditor at any time if it determines that such a change would be in the best interests of the Company and our shareholders.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affirmative vote of a majority of the votes cast by the holders of Hubbell common stock is required to ratify the selection of PricewaterhouseCoopers LLP as the Company’s independent registered public accounting firm. This means that the number of votes cast “FOR” the proposal must exceed the number of votes cast “AGAINST” the proposal. Abstentions and broker non-votes are not considered to be votes cast and therefore will not affect the voting results. Brokers have the discretionary authority to vote on the ratification of auditors and therefore we do not expect any broker non-votes in connection with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3257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32320" cy="325755"/>
                    </a:xfrm>
                    <a:prstGeom prst="rect">
                      <a:avLst/>
                    </a:prstGeom>
                    <a:noFill/>
                  </pic:spPr>
                </pic:pic>
              </a:graphicData>
            </a:graphic>
          </wp:anchor>
        </w:drawing>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The Board unanimously recommends a vote for the ratification of the selection of PricewaterhouseCoopers LLP.</w:t>
      </w:r>
    </w:p>
    <w:p>
      <w:pPr>
        <w:spacing w:after="0" w:line="32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Independent Accounting Firm Fees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PricewaterhouseCoopers LLP provided the following audit and other services during 2024 and 2025.</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360" w:type="dxa"/>
            <w:vAlign w:val="bottom"/>
            <w:shd w:val="clear" w:color="auto" w:fill="FFE933"/>
          </w:tcPr>
          <w:p>
            <w:pPr>
              <w:spacing w:after="0"/>
              <w:rPr>
                <w:sz w:val="16"/>
                <w:szCs w:val="16"/>
                <w:color w:val="auto"/>
              </w:rPr>
            </w:pPr>
          </w:p>
        </w:tc>
        <w:tc>
          <w:tcPr>
            <w:tcW w:w="1060" w:type="dxa"/>
            <w:vAlign w:val="bottom"/>
            <w:shd w:val="clear" w:color="auto" w:fill="FFE933"/>
          </w:tcPr>
          <w:p>
            <w:pPr>
              <w:spacing w:after="0"/>
              <w:rPr>
                <w:sz w:val="16"/>
                <w:szCs w:val="16"/>
                <w:color w:val="auto"/>
              </w:rPr>
            </w:pPr>
          </w:p>
        </w:tc>
        <w:tc>
          <w:tcPr>
            <w:tcW w:w="940" w:type="dxa"/>
            <w:vAlign w:val="bottom"/>
            <w:shd w:val="clear" w:color="auto" w:fill="FFE933"/>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300" w:type="dxa"/>
            <w:vAlign w:val="bottom"/>
            <w:shd w:val="clear" w:color="auto" w:fill="FFE933"/>
          </w:tcPr>
          <w:p>
            <w:pPr>
              <w:spacing w:after="0"/>
              <w:rPr>
                <w:sz w:val="16"/>
                <w:szCs w:val="16"/>
                <w:color w:val="auto"/>
              </w:rPr>
            </w:pPr>
          </w:p>
        </w:tc>
        <w:tc>
          <w:tcPr>
            <w:tcW w:w="920" w:type="dxa"/>
            <w:vAlign w:val="bottom"/>
            <w:shd w:val="clear" w:color="auto" w:fill="FFE933"/>
          </w:tcPr>
          <w:p>
            <w:pPr>
              <w:jc w:val="right"/>
              <w:ind w:right="79"/>
              <w:spacing w:after="0"/>
              <w:rPr>
                <w:sz w:val="20"/>
                <w:szCs w:val="20"/>
                <w:color w:val="auto"/>
              </w:rPr>
            </w:pPr>
            <w:r>
              <w:rPr>
                <w:rFonts w:ascii="Arial" w:cs="Arial" w:eastAsia="Arial" w:hAnsi="Arial"/>
                <w:sz w:val="16"/>
                <w:szCs w:val="16"/>
                <w:b w:val="1"/>
                <w:bCs w:val="1"/>
                <w:color w:val="auto"/>
              </w:rPr>
              <w:t>2025</w:t>
            </w:r>
          </w:p>
        </w:tc>
        <w:tc>
          <w:tcPr>
            <w:tcW w:w="5660" w:type="dxa"/>
            <w:vAlign w:val="bottom"/>
            <w:shd w:val="clear" w:color="auto" w:fill="FFE933"/>
          </w:tcPr>
          <w:p>
            <w:pPr>
              <w:spacing w:after="0"/>
              <w:rPr>
                <w:sz w:val="16"/>
                <w:szCs w:val="16"/>
                <w:color w:val="auto"/>
              </w:rPr>
            </w:pPr>
          </w:p>
        </w:tc>
      </w:tr>
      <w:tr>
        <w:trPr>
          <w:trHeight w:val="175"/>
        </w:trPr>
        <w:tc>
          <w:tcPr>
            <w:tcW w:w="2360" w:type="dxa"/>
            <w:vAlign w:val="bottom"/>
          </w:tcPr>
          <w:p>
            <w:pPr>
              <w:ind w:left="60"/>
              <w:spacing w:after="0" w:line="175" w:lineRule="exact"/>
              <w:rPr>
                <w:sz w:val="20"/>
                <w:szCs w:val="20"/>
                <w:color w:val="auto"/>
              </w:rPr>
            </w:pPr>
            <w:r>
              <w:rPr>
                <w:rFonts w:ascii="Arial" w:cs="Arial" w:eastAsia="Arial" w:hAnsi="Arial"/>
                <w:sz w:val="16"/>
                <w:szCs w:val="16"/>
                <w:color w:val="auto"/>
              </w:rPr>
              <w:t>Audit Fees</w:t>
            </w:r>
          </w:p>
        </w:tc>
        <w:tc>
          <w:tcPr>
            <w:tcW w:w="106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75" w:lineRule="exact"/>
              <w:rPr>
                <w:sz w:val="20"/>
                <w:szCs w:val="20"/>
                <w:color w:val="auto"/>
              </w:rPr>
            </w:pPr>
            <w:r>
              <w:rPr>
                <w:rFonts w:ascii="Arial" w:cs="Arial" w:eastAsia="Arial" w:hAnsi="Arial"/>
                <w:sz w:val="16"/>
                <w:szCs w:val="16"/>
                <w:color w:val="auto"/>
              </w:rPr>
              <w:t>4,605,000</w:t>
            </w:r>
          </w:p>
        </w:tc>
        <w:tc>
          <w:tcPr>
            <w:tcW w:w="300" w:type="dxa"/>
            <w:vAlign w:val="bottom"/>
          </w:tcPr>
          <w:p>
            <w:pPr>
              <w:jc w:val="right"/>
              <w:spacing w:after="0" w:line="175"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line="175" w:lineRule="exact"/>
              <w:rPr>
                <w:sz w:val="20"/>
                <w:szCs w:val="20"/>
                <w:color w:val="auto"/>
              </w:rPr>
            </w:pPr>
            <w:r>
              <w:rPr>
                <w:rFonts w:ascii="Arial" w:cs="Arial" w:eastAsia="Arial" w:hAnsi="Arial"/>
                <w:sz w:val="16"/>
                <w:szCs w:val="16"/>
                <w:color w:val="auto"/>
              </w:rPr>
              <w:t>4,835,000</w:t>
            </w:r>
          </w:p>
        </w:tc>
        <w:tc>
          <w:tcPr>
            <w:tcW w:w="5660" w:type="dxa"/>
            <w:vAlign w:val="bottom"/>
          </w:tcPr>
          <w:p>
            <w:pPr>
              <w:ind w:left="160"/>
              <w:spacing w:after="0" w:line="175" w:lineRule="exact"/>
              <w:rPr>
                <w:sz w:val="20"/>
                <w:szCs w:val="20"/>
                <w:color w:val="auto"/>
              </w:rPr>
            </w:pPr>
            <w:r>
              <w:rPr>
                <w:rFonts w:ascii="Arial" w:cs="Arial" w:eastAsia="Arial" w:hAnsi="Arial"/>
                <w:sz w:val="16"/>
                <w:szCs w:val="16"/>
                <w:color w:val="auto"/>
              </w:rPr>
              <w:t>Audit Fees consist primarily of the annual integrated audit of the Company’s</w:t>
            </w:r>
          </w:p>
        </w:tc>
      </w:tr>
      <w:tr>
        <w:trPr>
          <w:trHeight w:val="189"/>
        </w:trPr>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60" w:type="dxa"/>
            <w:vAlign w:val="bottom"/>
          </w:tcPr>
          <w:p>
            <w:pPr>
              <w:ind w:left="160"/>
              <w:spacing w:after="0"/>
              <w:rPr>
                <w:sz w:val="20"/>
                <w:szCs w:val="20"/>
                <w:color w:val="auto"/>
              </w:rPr>
            </w:pPr>
            <w:r>
              <w:rPr>
                <w:rFonts w:ascii="Arial" w:cs="Arial" w:eastAsia="Arial" w:hAnsi="Arial"/>
                <w:sz w:val="16"/>
                <w:szCs w:val="16"/>
                <w:color w:val="auto"/>
              </w:rPr>
              <w:t>annual consolidated financial statements and internal control over financial</w:t>
            </w:r>
          </w:p>
        </w:tc>
      </w:tr>
      <w:tr>
        <w:trPr>
          <w:trHeight w:val="189"/>
        </w:trPr>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60" w:type="dxa"/>
            <w:vAlign w:val="bottom"/>
          </w:tcPr>
          <w:p>
            <w:pPr>
              <w:ind w:left="160"/>
              <w:spacing w:after="0"/>
              <w:rPr>
                <w:sz w:val="20"/>
                <w:szCs w:val="20"/>
                <w:color w:val="auto"/>
              </w:rPr>
            </w:pPr>
            <w:r>
              <w:rPr>
                <w:rFonts w:ascii="Arial" w:cs="Arial" w:eastAsia="Arial" w:hAnsi="Arial"/>
                <w:sz w:val="16"/>
                <w:szCs w:val="16"/>
                <w:color w:val="auto"/>
              </w:rPr>
              <w:t>reporting, review of the interim consolidated financial statements included in</w:t>
            </w:r>
          </w:p>
        </w:tc>
      </w:tr>
      <w:tr>
        <w:trPr>
          <w:trHeight w:val="189"/>
        </w:trPr>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60" w:type="dxa"/>
            <w:vAlign w:val="bottom"/>
          </w:tcPr>
          <w:p>
            <w:pPr>
              <w:ind w:left="160"/>
              <w:spacing w:after="0"/>
              <w:rPr>
                <w:sz w:val="20"/>
                <w:szCs w:val="20"/>
                <w:color w:val="auto"/>
              </w:rPr>
            </w:pPr>
            <w:r>
              <w:rPr>
                <w:rFonts w:ascii="Arial" w:cs="Arial" w:eastAsia="Arial" w:hAnsi="Arial"/>
                <w:sz w:val="16"/>
                <w:szCs w:val="16"/>
                <w:color w:val="auto"/>
              </w:rPr>
              <w:t>quarterly reports, and services that are normally provided by</w:t>
            </w:r>
          </w:p>
        </w:tc>
      </w:tr>
      <w:tr>
        <w:trPr>
          <w:trHeight w:val="189"/>
        </w:trPr>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60" w:type="dxa"/>
            <w:vAlign w:val="bottom"/>
          </w:tcPr>
          <w:p>
            <w:pPr>
              <w:ind w:left="160"/>
              <w:spacing w:after="0"/>
              <w:rPr>
                <w:sz w:val="20"/>
                <w:szCs w:val="20"/>
                <w:color w:val="auto"/>
              </w:rPr>
            </w:pPr>
            <w:r>
              <w:rPr>
                <w:rFonts w:ascii="Arial" w:cs="Arial" w:eastAsia="Arial" w:hAnsi="Arial"/>
                <w:sz w:val="16"/>
                <w:szCs w:val="16"/>
                <w:color w:val="auto"/>
              </w:rPr>
              <w:t>PricewaterhouseCoopers LLP in connection with statutory and regulatory</w:t>
            </w:r>
          </w:p>
        </w:tc>
      </w:tr>
      <w:tr>
        <w:trPr>
          <w:trHeight w:val="203"/>
        </w:trPr>
        <w:tc>
          <w:tcPr>
            <w:tcW w:w="2360" w:type="dxa"/>
            <w:vAlign w:val="bottom"/>
            <w:tcBorders>
              <w:bottom w:val="single" w:sz="8" w:color="BCBEC0"/>
            </w:tcBorders>
          </w:tcPr>
          <w:p>
            <w:pPr>
              <w:spacing w:after="0"/>
              <w:rPr>
                <w:sz w:val="17"/>
                <w:szCs w:val="17"/>
                <w:color w:val="auto"/>
              </w:rPr>
            </w:pPr>
          </w:p>
        </w:tc>
        <w:tc>
          <w:tcPr>
            <w:tcW w:w="106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spacing w:after="0"/>
              <w:rPr>
                <w:sz w:val="17"/>
                <w:szCs w:val="17"/>
                <w:color w:val="auto"/>
              </w:rPr>
            </w:pPr>
          </w:p>
        </w:tc>
        <w:tc>
          <w:tcPr>
            <w:tcW w:w="566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filings or engagements.</w:t>
            </w:r>
          </w:p>
        </w:tc>
      </w:tr>
      <w:tr>
        <w:trPr>
          <w:trHeight w:val="168"/>
        </w:trPr>
        <w:tc>
          <w:tcPr>
            <w:tcW w:w="2360" w:type="dxa"/>
            <w:vAlign w:val="bottom"/>
          </w:tcPr>
          <w:p>
            <w:pPr>
              <w:ind w:left="60"/>
              <w:spacing w:after="0" w:line="168" w:lineRule="exact"/>
              <w:rPr>
                <w:sz w:val="20"/>
                <w:szCs w:val="20"/>
                <w:color w:val="auto"/>
              </w:rPr>
            </w:pPr>
            <w:r>
              <w:rPr>
                <w:rFonts w:ascii="Arial" w:cs="Arial" w:eastAsia="Arial" w:hAnsi="Arial"/>
                <w:sz w:val="16"/>
                <w:szCs w:val="16"/>
                <w:color w:val="auto"/>
              </w:rPr>
              <w:t>Audit Related Fees</w:t>
            </w:r>
          </w:p>
        </w:tc>
        <w:tc>
          <w:tcPr>
            <w:tcW w:w="10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68" w:lineRule="exact"/>
              <w:rPr>
                <w:sz w:val="20"/>
                <w:szCs w:val="20"/>
                <w:color w:val="auto"/>
              </w:rPr>
            </w:pPr>
            <w:r>
              <w:rPr>
                <w:rFonts w:ascii="Arial" w:cs="Arial" w:eastAsia="Arial" w:hAnsi="Arial"/>
                <w:sz w:val="16"/>
                <w:szCs w:val="16"/>
                <w:color w:val="auto"/>
              </w:rPr>
              <w:t>32,000</w:t>
            </w:r>
          </w:p>
        </w:tc>
        <w:tc>
          <w:tcPr>
            <w:tcW w:w="3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107,000</w:t>
            </w:r>
          </w:p>
        </w:tc>
        <w:tc>
          <w:tcPr>
            <w:tcW w:w="5660" w:type="dxa"/>
            <w:vAlign w:val="bottom"/>
          </w:tcPr>
          <w:p>
            <w:pPr>
              <w:ind w:left="160"/>
              <w:spacing w:after="0" w:line="168" w:lineRule="exact"/>
              <w:rPr>
                <w:sz w:val="20"/>
                <w:szCs w:val="20"/>
                <w:color w:val="auto"/>
              </w:rPr>
            </w:pPr>
            <w:r>
              <w:rPr>
                <w:rFonts w:ascii="Arial" w:cs="Arial" w:eastAsia="Arial" w:hAnsi="Arial"/>
                <w:sz w:val="16"/>
                <w:szCs w:val="16"/>
                <w:color w:val="auto"/>
              </w:rPr>
              <w:t>Audit Related Fees consist primarily of accounting advisory services. In</w:t>
            </w:r>
          </w:p>
        </w:tc>
      </w:tr>
      <w:tr>
        <w:trPr>
          <w:trHeight w:val="189"/>
        </w:trPr>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60" w:type="dxa"/>
            <w:vAlign w:val="bottom"/>
          </w:tcPr>
          <w:p>
            <w:pPr>
              <w:ind w:left="160"/>
              <w:spacing w:after="0"/>
              <w:rPr>
                <w:sz w:val="20"/>
                <w:szCs w:val="20"/>
                <w:color w:val="auto"/>
              </w:rPr>
            </w:pPr>
            <w:r>
              <w:rPr>
                <w:rFonts w:ascii="Arial" w:cs="Arial" w:eastAsia="Arial" w:hAnsi="Arial"/>
                <w:sz w:val="16"/>
                <w:szCs w:val="16"/>
                <w:color w:val="auto"/>
              </w:rPr>
              <w:t>addition, Audit Related Fees include assurance and related services that are</w:t>
            </w:r>
          </w:p>
        </w:tc>
      </w:tr>
      <w:tr>
        <w:trPr>
          <w:trHeight w:val="189"/>
        </w:trPr>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60" w:type="dxa"/>
            <w:vAlign w:val="bottom"/>
          </w:tcPr>
          <w:p>
            <w:pPr>
              <w:ind w:left="160"/>
              <w:spacing w:after="0"/>
              <w:rPr>
                <w:sz w:val="20"/>
                <w:szCs w:val="20"/>
                <w:color w:val="auto"/>
              </w:rPr>
            </w:pPr>
            <w:r>
              <w:rPr>
                <w:rFonts w:ascii="Arial" w:cs="Arial" w:eastAsia="Arial" w:hAnsi="Arial"/>
                <w:sz w:val="16"/>
                <w:szCs w:val="16"/>
                <w:color w:val="auto"/>
              </w:rPr>
              <w:t>reasonably related to performance of the audit of the Company’s</w:t>
            </w:r>
          </w:p>
        </w:tc>
      </w:tr>
      <w:tr>
        <w:trPr>
          <w:trHeight w:val="203"/>
        </w:trPr>
        <w:tc>
          <w:tcPr>
            <w:tcW w:w="2360" w:type="dxa"/>
            <w:vAlign w:val="bottom"/>
            <w:tcBorders>
              <w:bottom w:val="single" w:sz="8" w:color="BCBEC0"/>
            </w:tcBorders>
          </w:tcPr>
          <w:p>
            <w:pPr>
              <w:spacing w:after="0"/>
              <w:rPr>
                <w:sz w:val="17"/>
                <w:szCs w:val="17"/>
                <w:color w:val="auto"/>
              </w:rPr>
            </w:pPr>
          </w:p>
        </w:tc>
        <w:tc>
          <w:tcPr>
            <w:tcW w:w="106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spacing w:after="0"/>
              <w:rPr>
                <w:sz w:val="17"/>
                <w:szCs w:val="17"/>
                <w:color w:val="auto"/>
              </w:rPr>
            </w:pPr>
          </w:p>
        </w:tc>
        <w:tc>
          <w:tcPr>
            <w:tcW w:w="566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consolidated financial statements and are not reported under Audit Fees.</w:t>
            </w:r>
          </w:p>
        </w:tc>
      </w:tr>
      <w:tr>
        <w:trPr>
          <w:trHeight w:val="168"/>
        </w:trPr>
        <w:tc>
          <w:tcPr>
            <w:tcW w:w="2360" w:type="dxa"/>
            <w:vAlign w:val="bottom"/>
          </w:tcPr>
          <w:p>
            <w:pPr>
              <w:ind w:left="60"/>
              <w:spacing w:after="0" w:line="168" w:lineRule="exact"/>
              <w:rPr>
                <w:sz w:val="20"/>
                <w:szCs w:val="20"/>
                <w:color w:val="auto"/>
              </w:rPr>
            </w:pPr>
            <w:r>
              <w:rPr>
                <w:rFonts w:ascii="Arial" w:cs="Arial" w:eastAsia="Arial" w:hAnsi="Arial"/>
                <w:sz w:val="16"/>
                <w:szCs w:val="16"/>
                <w:color w:val="auto"/>
              </w:rPr>
              <w:t>Tax Fees</w:t>
            </w:r>
          </w:p>
        </w:tc>
        <w:tc>
          <w:tcPr>
            <w:tcW w:w="10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68" w:lineRule="exact"/>
              <w:rPr>
                <w:sz w:val="20"/>
                <w:szCs w:val="20"/>
                <w:color w:val="auto"/>
              </w:rPr>
            </w:pPr>
            <w:r>
              <w:rPr>
                <w:rFonts w:ascii="Arial" w:cs="Arial" w:eastAsia="Arial" w:hAnsi="Arial"/>
                <w:sz w:val="16"/>
                <w:szCs w:val="16"/>
                <w:color w:val="auto"/>
              </w:rPr>
              <w:t>25,000</w:t>
            </w:r>
          </w:p>
        </w:tc>
        <w:tc>
          <w:tcPr>
            <w:tcW w:w="300" w:type="dxa"/>
            <w:vAlign w:val="bottom"/>
          </w:tcPr>
          <w:p>
            <w:pPr>
              <w:spacing w:after="0"/>
              <w:rPr>
                <w:sz w:val="14"/>
                <w:szCs w:val="14"/>
                <w:color w:val="auto"/>
              </w:rPr>
            </w:pPr>
          </w:p>
        </w:tc>
        <w:tc>
          <w:tcPr>
            <w:tcW w:w="9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w:t>
            </w:r>
          </w:p>
        </w:tc>
        <w:tc>
          <w:tcPr>
            <w:tcW w:w="5660" w:type="dxa"/>
            <w:vAlign w:val="bottom"/>
          </w:tcPr>
          <w:p>
            <w:pPr>
              <w:ind w:left="160"/>
              <w:spacing w:after="0" w:line="168" w:lineRule="exact"/>
              <w:rPr>
                <w:sz w:val="20"/>
                <w:szCs w:val="20"/>
                <w:color w:val="auto"/>
              </w:rPr>
            </w:pPr>
            <w:r>
              <w:rPr>
                <w:rFonts w:ascii="Arial" w:cs="Arial" w:eastAsia="Arial" w:hAnsi="Arial"/>
                <w:sz w:val="16"/>
                <w:szCs w:val="16"/>
                <w:color w:val="auto"/>
              </w:rPr>
              <w:t>Tax Fees consist primarily of services associated with international tax</w:t>
            </w:r>
          </w:p>
        </w:tc>
      </w:tr>
      <w:tr>
        <w:trPr>
          <w:trHeight w:val="203"/>
        </w:trPr>
        <w:tc>
          <w:tcPr>
            <w:tcW w:w="2360" w:type="dxa"/>
            <w:vAlign w:val="bottom"/>
            <w:tcBorders>
              <w:bottom w:val="single" w:sz="8" w:color="BCBEC0"/>
            </w:tcBorders>
          </w:tcPr>
          <w:p>
            <w:pPr>
              <w:spacing w:after="0"/>
              <w:rPr>
                <w:sz w:val="17"/>
                <w:szCs w:val="17"/>
                <w:color w:val="auto"/>
              </w:rPr>
            </w:pPr>
          </w:p>
        </w:tc>
        <w:tc>
          <w:tcPr>
            <w:tcW w:w="106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spacing w:after="0"/>
              <w:rPr>
                <w:sz w:val="17"/>
                <w:szCs w:val="17"/>
                <w:color w:val="auto"/>
              </w:rPr>
            </w:pPr>
          </w:p>
        </w:tc>
        <w:tc>
          <w:tcPr>
            <w:tcW w:w="566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compliance.</w:t>
            </w:r>
          </w:p>
        </w:tc>
      </w:tr>
      <w:tr>
        <w:trPr>
          <w:trHeight w:val="168"/>
        </w:trPr>
        <w:tc>
          <w:tcPr>
            <w:tcW w:w="2360" w:type="dxa"/>
            <w:vAlign w:val="bottom"/>
          </w:tcPr>
          <w:p>
            <w:pPr>
              <w:ind w:left="60"/>
              <w:spacing w:after="0" w:line="168" w:lineRule="exact"/>
              <w:rPr>
                <w:sz w:val="20"/>
                <w:szCs w:val="20"/>
                <w:color w:val="auto"/>
              </w:rPr>
            </w:pPr>
            <w:r>
              <w:rPr>
                <w:rFonts w:ascii="Arial" w:cs="Arial" w:eastAsia="Arial" w:hAnsi="Arial"/>
                <w:sz w:val="16"/>
                <w:szCs w:val="16"/>
                <w:color w:val="auto"/>
              </w:rPr>
              <w:t>All Other Fees</w:t>
            </w:r>
          </w:p>
        </w:tc>
        <w:tc>
          <w:tcPr>
            <w:tcW w:w="10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line="168" w:lineRule="exact"/>
              <w:rPr>
                <w:sz w:val="20"/>
                <w:szCs w:val="20"/>
                <w:color w:val="auto"/>
              </w:rPr>
            </w:pPr>
            <w:r>
              <w:rPr>
                <w:rFonts w:ascii="Arial" w:cs="Arial" w:eastAsia="Arial" w:hAnsi="Arial"/>
                <w:sz w:val="16"/>
                <w:szCs w:val="16"/>
                <w:color w:val="auto"/>
              </w:rPr>
              <w:t>4,000</w:t>
            </w:r>
          </w:p>
        </w:tc>
        <w:tc>
          <w:tcPr>
            <w:tcW w:w="30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line="168" w:lineRule="exact"/>
              <w:rPr>
                <w:sz w:val="20"/>
                <w:szCs w:val="20"/>
                <w:color w:val="auto"/>
              </w:rPr>
            </w:pPr>
            <w:r>
              <w:rPr>
                <w:rFonts w:ascii="Arial" w:cs="Arial" w:eastAsia="Arial" w:hAnsi="Arial"/>
                <w:sz w:val="16"/>
                <w:szCs w:val="16"/>
                <w:color w:val="auto"/>
              </w:rPr>
              <w:t>3,825</w:t>
            </w:r>
          </w:p>
        </w:tc>
        <w:tc>
          <w:tcPr>
            <w:tcW w:w="5660" w:type="dxa"/>
            <w:vAlign w:val="bottom"/>
          </w:tcPr>
          <w:p>
            <w:pPr>
              <w:ind w:left="160"/>
              <w:spacing w:after="0" w:line="168" w:lineRule="exact"/>
              <w:rPr>
                <w:sz w:val="20"/>
                <w:szCs w:val="20"/>
                <w:color w:val="auto"/>
              </w:rPr>
            </w:pPr>
            <w:r>
              <w:rPr>
                <w:rFonts w:ascii="Arial" w:cs="Arial" w:eastAsia="Arial" w:hAnsi="Arial"/>
                <w:sz w:val="16"/>
                <w:szCs w:val="16"/>
                <w:color w:val="auto"/>
              </w:rPr>
              <w:t>All Other Fees are primarily for products and services other than the</w:t>
            </w:r>
          </w:p>
        </w:tc>
      </w:tr>
      <w:tr>
        <w:trPr>
          <w:trHeight w:val="189"/>
        </w:trPr>
        <w:tc>
          <w:tcPr>
            <w:tcW w:w="2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60" w:type="dxa"/>
            <w:vAlign w:val="bottom"/>
          </w:tcPr>
          <w:p>
            <w:pPr>
              <w:ind w:left="160"/>
              <w:spacing w:after="0"/>
              <w:rPr>
                <w:sz w:val="20"/>
                <w:szCs w:val="20"/>
                <w:color w:val="auto"/>
              </w:rPr>
            </w:pPr>
            <w:r>
              <w:rPr>
                <w:rFonts w:ascii="Arial" w:cs="Arial" w:eastAsia="Arial" w:hAnsi="Arial"/>
                <w:sz w:val="16"/>
                <w:szCs w:val="16"/>
                <w:color w:val="auto"/>
              </w:rPr>
              <w:t>services reported above. These services are related to subscription services</w:t>
            </w:r>
          </w:p>
        </w:tc>
      </w:tr>
      <w:tr>
        <w:trPr>
          <w:trHeight w:val="203"/>
        </w:trPr>
        <w:tc>
          <w:tcPr>
            <w:tcW w:w="2360" w:type="dxa"/>
            <w:vAlign w:val="bottom"/>
            <w:tcBorders>
              <w:bottom w:val="single" w:sz="8" w:color="BCBEC0"/>
            </w:tcBorders>
          </w:tcPr>
          <w:p>
            <w:pPr>
              <w:spacing w:after="0"/>
              <w:rPr>
                <w:sz w:val="17"/>
                <w:szCs w:val="17"/>
                <w:color w:val="auto"/>
              </w:rPr>
            </w:pPr>
          </w:p>
        </w:tc>
        <w:tc>
          <w:tcPr>
            <w:tcW w:w="1060" w:type="dxa"/>
            <w:vAlign w:val="bottom"/>
            <w:tcBorders>
              <w:bottom w:val="single" w:sz="8" w:color="BCBEC0"/>
            </w:tcBorders>
          </w:tcPr>
          <w:p>
            <w:pPr>
              <w:spacing w:after="0"/>
              <w:rPr>
                <w:sz w:val="17"/>
                <w:szCs w:val="17"/>
                <w:color w:val="auto"/>
              </w:rPr>
            </w:pPr>
          </w:p>
        </w:tc>
        <w:tc>
          <w:tcPr>
            <w:tcW w:w="940" w:type="dxa"/>
            <w:vAlign w:val="bottom"/>
            <w:tcBorders>
              <w:bottom w:val="single" w:sz="8" w:color="BCBEC0"/>
            </w:tcBorders>
          </w:tcPr>
          <w:p>
            <w:pPr>
              <w:spacing w:after="0"/>
              <w:rPr>
                <w:sz w:val="17"/>
                <w:szCs w:val="17"/>
                <w:color w:val="auto"/>
              </w:rPr>
            </w:pPr>
          </w:p>
        </w:tc>
        <w:tc>
          <w:tcPr>
            <w:tcW w:w="300" w:type="dxa"/>
            <w:vAlign w:val="bottom"/>
            <w:tcBorders>
              <w:bottom w:val="single" w:sz="8" w:color="BCBEC0"/>
            </w:tcBorders>
          </w:tcPr>
          <w:p>
            <w:pPr>
              <w:spacing w:after="0"/>
              <w:rPr>
                <w:sz w:val="17"/>
                <w:szCs w:val="17"/>
                <w:color w:val="auto"/>
              </w:rPr>
            </w:pPr>
          </w:p>
        </w:tc>
        <w:tc>
          <w:tcPr>
            <w:tcW w:w="920" w:type="dxa"/>
            <w:vAlign w:val="bottom"/>
            <w:tcBorders>
              <w:bottom w:val="single" w:sz="8" w:color="BCBEC0"/>
            </w:tcBorders>
          </w:tcPr>
          <w:p>
            <w:pPr>
              <w:spacing w:after="0"/>
              <w:rPr>
                <w:sz w:val="17"/>
                <w:szCs w:val="17"/>
                <w:color w:val="auto"/>
              </w:rPr>
            </w:pPr>
          </w:p>
        </w:tc>
        <w:tc>
          <w:tcPr>
            <w:tcW w:w="5660" w:type="dxa"/>
            <w:vAlign w:val="bottom"/>
            <w:tcBorders>
              <w:bottom w:val="single" w:sz="8" w:color="BCBEC0"/>
            </w:tcBorders>
          </w:tcPr>
          <w:p>
            <w:pPr>
              <w:ind w:left="160"/>
              <w:spacing w:after="0"/>
              <w:rPr>
                <w:sz w:val="20"/>
                <w:szCs w:val="20"/>
                <w:color w:val="auto"/>
              </w:rPr>
            </w:pPr>
            <w:r>
              <w:rPr>
                <w:rFonts w:ascii="Arial" w:cs="Arial" w:eastAsia="Arial" w:hAnsi="Arial"/>
                <w:sz w:val="16"/>
                <w:szCs w:val="16"/>
                <w:color w:val="auto"/>
              </w:rPr>
              <w:t>purchased from the independent registered public accounting firm.</w:t>
            </w:r>
          </w:p>
        </w:tc>
      </w:tr>
      <w:tr>
        <w:trPr>
          <w:trHeight w:val="183"/>
        </w:trPr>
        <w:tc>
          <w:tcPr>
            <w:tcW w:w="236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TOTAL FEES</w:t>
            </w:r>
          </w:p>
        </w:tc>
        <w:tc>
          <w:tcPr>
            <w:tcW w:w="106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BCBEC0"/>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4,666,000</w:t>
            </w:r>
          </w:p>
        </w:tc>
        <w:tc>
          <w:tcPr>
            <w:tcW w:w="30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tcBorders>
              <w:bottom w:val="single" w:sz="8" w:color="BCBEC0"/>
            </w:tcBorders>
          </w:tcPr>
          <w:p>
            <w:pPr>
              <w:jc w:val="right"/>
              <w:ind w:right="79"/>
              <w:spacing w:after="0" w:line="183" w:lineRule="exact"/>
              <w:rPr>
                <w:sz w:val="20"/>
                <w:szCs w:val="20"/>
                <w:color w:val="auto"/>
              </w:rPr>
            </w:pPr>
            <w:r>
              <w:rPr>
                <w:rFonts w:ascii="Arial" w:cs="Arial" w:eastAsia="Arial" w:hAnsi="Arial"/>
                <w:sz w:val="16"/>
                <w:szCs w:val="16"/>
                <w:b w:val="1"/>
                <w:bCs w:val="1"/>
                <w:color w:val="auto"/>
              </w:rPr>
              <w:t>4,945,825</w:t>
            </w:r>
          </w:p>
        </w:tc>
        <w:tc>
          <w:tcPr>
            <w:tcW w:w="5660" w:type="dxa"/>
            <w:vAlign w:val="bottom"/>
            <w:tcBorders>
              <w:bottom w:val="single" w:sz="8" w:color="BCBEC0"/>
            </w:tcBorders>
          </w:tcPr>
          <w:p>
            <w:pPr>
              <w:spacing w:after="0"/>
              <w:rPr>
                <w:sz w:val="15"/>
                <w:szCs w:val="15"/>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 and Non-Audit Services Pre-Approval Policy</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Company’s Audit and Non-Audit Services Pre-Approval Policy (the “Services Policy”) sets forth the policies and procedures by which the Audit Committee reviews and approves all services to be provided by the independent auditors before they are engaged. The Services Policy underscores the need to ensure the independence of the independent auditor while recognizing that the independent auditor may have expertise that best positions it to provide the most effective and efficient services on certain matters unrelated to accounting and auditing.</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Audit Committee will only pre-approve the services that it believes enhance the Company’s ability to manage or control risk. The Audit Committee is also mindful of the relationship between fees for audit and non-audit services in deciding whether to pre-approve any such services. The Services Policy provides the Audit Committee with a description of services that can be performed such as audit, audit-related, tax, and other permissible non-audit services. The Audit Committee periodically monitors the services rendered and actual fees paid to the independent auditors and considers whether such services are consistent with SEC rules and regulations on auditor independence. Any proposed services exceeding pre-approved amounts also require pre-approval by the Audit Committee. In the interim periods between Audit Committee meetings, the Chair of the Audit Committee can authorize spending that exceeds pre-approved levels, provided that the amount of such spending is presented to the Committee at its next scheduled meeting.</w:t>
      </w:r>
    </w:p>
    <w:p>
      <w:pPr>
        <w:spacing w:after="0" w:line="15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During 2025, all audit services, audit-related services, and other services provided by PricewaterhouseCoopers LLP were pre-approved by the Audit Committee.</w:t>
      </w:r>
    </w:p>
    <w:p>
      <w:pPr>
        <w:spacing w:after="0" w:line="129"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76</w:t>
      </w:r>
      <w:r>
        <w:rPr>
          <w:rFonts w:ascii="Arial" w:cs="Arial" w:eastAsia="Arial" w:hAnsi="Arial"/>
          <w:sz w:val="16"/>
          <w:szCs w:val="16"/>
          <w:b w:val="1"/>
          <w:bCs w:val="1"/>
          <w:color w:val="FFE933"/>
        </w:rPr>
        <w:tab/>
        <w:t xml:space="preserve">|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Audit Committee Report</w:t>
      </w:r>
    </w:p>
    <w:p>
      <w:pPr>
        <w:spacing w:after="0" w:line="2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Audit Committee of the Board of Directors is made up of independent Directors functioning in accordance with a written charter last revised, adopted, and approved by the Board of Directors effective May 7, 2024. The Audit Committee reviews its charter annually. As provided in its charter, the Audit Committee assists the Company’s Directors in fulfilling their responsibilities relating to corporate accounting, the quality and integrity of the Company’s financial reports, and the Company’s reporting practices. The functions of the Audit Committee are further described in the “Corporate Governance” section beginning on page 23.</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discharge of its responsibilities, the Audit Committee has taken a number of actions, including, the following:</w:t>
      </w:r>
    </w:p>
    <w:p>
      <w:pPr>
        <w:spacing w:after="0" w:line="194" w:lineRule="exact"/>
        <w:rPr>
          <w:sz w:val="20"/>
          <w:szCs w:val="20"/>
          <w:color w:val="auto"/>
        </w:rPr>
      </w:pPr>
    </w:p>
    <w:p>
      <w:pPr>
        <w:ind w:left="180" w:right="20" w:hanging="172"/>
        <w:spacing w:after="0" w:line="286" w:lineRule="auto"/>
        <w:tabs>
          <w:tab w:leader="none" w:pos="180" w:val="left"/>
        </w:tabs>
        <w:numPr>
          <w:ilvl w:val="0"/>
          <w:numId w:val="86"/>
        </w:numPr>
        <w:rPr>
          <w:rFonts w:ascii="Arial" w:cs="Arial" w:eastAsia="Arial" w:hAnsi="Arial"/>
          <w:sz w:val="16"/>
          <w:szCs w:val="16"/>
          <w:color w:val="2F8B9E"/>
        </w:rPr>
      </w:pPr>
      <w:r>
        <w:rPr>
          <w:rFonts w:ascii="Arial" w:cs="Arial" w:eastAsia="Arial" w:hAnsi="Arial"/>
          <w:sz w:val="16"/>
          <w:szCs w:val="16"/>
          <w:color w:val="auto"/>
        </w:rPr>
        <w:t>The Audit Committee reviewed and discussed with management and the independent registered public accounting firm the Company’s audited financial statements.</w:t>
      </w:r>
    </w:p>
    <w:p>
      <w:pPr>
        <w:spacing w:after="0" w:line="20" w:lineRule="exact"/>
        <w:rPr>
          <w:rFonts w:ascii="Arial" w:cs="Arial" w:eastAsia="Arial" w:hAnsi="Arial"/>
          <w:sz w:val="16"/>
          <w:szCs w:val="16"/>
          <w:color w:val="2F8B9E"/>
        </w:rPr>
      </w:pPr>
    </w:p>
    <w:p>
      <w:pPr>
        <w:ind w:left="180" w:hanging="172"/>
        <w:spacing w:after="0" w:line="286" w:lineRule="auto"/>
        <w:tabs>
          <w:tab w:leader="none" w:pos="180" w:val="left"/>
        </w:tabs>
        <w:numPr>
          <w:ilvl w:val="0"/>
          <w:numId w:val="86"/>
        </w:numPr>
        <w:rPr>
          <w:rFonts w:ascii="Arial" w:cs="Arial" w:eastAsia="Arial" w:hAnsi="Arial"/>
          <w:sz w:val="16"/>
          <w:szCs w:val="16"/>
          <w:color w:val="2F8B9E"/>
        </w:rPr>
      </w:pPr>
      <w:r>
        <w:rPr>
          <w:rFonts w:ascii="Arial" w:cs="Arial" w:eastAsia="Arial" w:hAnsi="Arial"/>
          <w:sz w:val="16"/>
          <w:szCs w:val="16"/>
          <w:color w:val="auto"/>
        </w:rPr>
        <w:t>The Audit Committee discussed with the independent registered public accounting firm the matters required to be discussed per applicable requirements of the Public Company Accounting Oversight Board and the SEC.</w:t>
      </w:r>
    </w:p>
    <w:p>
      <w:pPr>
        <w:spacing w:after="0" w:line="20" w:lineRule="exact"/>
        <w:rPr>
          <w:rFonts w:ascii="Arial" w:cs="Arial" w:eastAsia="Arial" w:hAnsi="Arial"/>
          <w:sz w:val="16"/>
          <w:szCs w:val="16"/>
          <w:color w:val="2F8B9E"/>
        </w:rPr>
      </w:pPr>
    </w:p>
    <w:p>
      <w:pPr>
        <w:jc w:val="both"/>
        <w:ind w:left="180" w:hanging="172"/>
        <w:spacing w:after="0" w:line="259" w:lineRule="auto"/>
        <w:tabs>
          <w:tab w:leader="none" w:pos="180" w:val="left"/>
        </w:tabs>
        <w:numPr>
          <w:ilvl w:val="0"/>
          <w:numId w:val="86"/>
        </w:numPr>
        <w:rPr>
          <w:rFonts w:ascii="Arial" w:cs="Arial" w:eastAsia="Arial" w:hAnsi="Arial"/>
          <w:sz w:val="16"/>
          <w:szCs w:val="16"/>
          <w:color w:val="2F8B9E"/>
        </w:rPr>
      </w:pPr>
      <w:r>
        <w:rPr>
          <w:rFonts w:ascii="Arial" w:cs="Arial" w:eastAsia="Arial" w:hAnsi="Arial"/>
          <w:sz w:val="16"/>
          <w:szCs w:val="16"/>
          <w:color w:val="auto"/>
        </w:rPr>
        <w:t>The Audit Committee received from the independent registered public accounting firm the written disclosures and letter required by applicable requirements of the Public Company Accounting Oversight Board regarding the independent registered public accounting firm’s communications with the Audit Committee concerning independence, discussed their independence with them, and satisfied itself as to the independence of the independent registered public accounting firm.</w:t>
      </w:r>
    </w:p>
    <w:p>
      <w:pPr>
        <w:spacing w:after="0" w:line="15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Based on the foregoing reviews and discussions, the Audit Committee recommended to the Company’s Board of Directors that the audited financial statements be included in the Company’s Annual Report on Form 10-K for the year ended December 31, 2025, filed with the SEC.</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Bonnie C. Lind,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Debra L. Dial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Rhett A. Hernandez</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John F. Malloy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Garrick J. Rochow</w:t>
      </w:r>
    </w:p>
    <w:p>
      <w:pPr>
        <w:spacing w:after="0" w:line="178"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b w:val="1"/>
          <w:bCs w:val="1"/>
          <w:color w:val="FFE933"/>
        </w:rPr>
        <w:t>|</w:t>
      </w:r>
      <w:r>
        <w:rPr>
          <w:sz w:val="20"/>
          <w:szCs w:val="20"/>
          <w:color w:val="auto"/>
        </w:rPr>
        <w:tab/>
      </w:r>
      <w:r>
        <w:rPr>
          <w:rFonts w:ascii="Arial" w:cs="Arial" w:eastAsia="Arial" w:hAnsi="Arial"/>
          <w:sz w:val="16"/>
          <w:szCs w:val="16"/>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58"/>
          <w:szCs w:val="58"/>
          <w:color w:val="auto"/>
        </w:rPr>
        <w:t xml:space="preserve">Additional </w:t>
      </w:r>
      <w:r>
        <w:rPr>
          <w:rFonts w:ascii="Arial" w:cs="Arial" w:eastAsia="Arial" w:hAnsi="Arial"/>
          <w:sz w:val="58"/>
          <w:szCs w:val="58"/>
          <w:b w:val="1"/>
          <w:b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43180" cy="42037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3180" cy="420370"/>
                    </a:xfrm>
                    <a:prstGeom prst="rect">
                      <a:avLst/>
                    </a:prstGeom>
                    <a:noFill/>
                  </pic:spPr>
                </pic:pic>
              </a:graphicData>
            </a:graphic>
          </wp:anchor>
        </w:drawing>
      </w:r>
    </w:p>
    <w:p>
      <w:pPr>
        <w:spacing w:after="0" w:line="3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Solicitation Expenses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Company will pay the cost of soliciting proxies for the 2026 Annual Meeting. Original solicitation of proxies may be supplemented by telephone, fax, email, or personal solicitation by the Company’s Directors, officers, or employees. No additional compensation will be paid to the Company’s Directors, officers, or employees for such services. The Company has retained MacKenzie Partners, Inc. to assist in the solicitation of proxies at an estimated cost of $20,000, plus reasonable expenses.</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We encourage you to access your proxy materials online to reduce the environmental impact and cost of our proxy solicitation. You may request a paper or email copy of the materials using any of the following methods:</w:t>
      </w:r>
    </w:p>
    <w:p>
      <w:pPr>
        <w:spacing w:after="0" w:line="129" w:lineRule="exact"/>
        <w:rPr>
          <w:sz w:val="20"/>
          <w:szCs w:val="20"/>
          <w:color w:val="auto"/>
        </w:rPr>
      </w:pPr>
    </w:p>
    <w:p>
      <w:pPr>
        <w:ind w:left="180" w:hanging="172"/>
        <w:spacing w:after="0"/>
        <w:tabs>
          <w:tab w:leader="none" w:pos="180" w:val="left"/>
        </w:tabs>
        <w:numPr>
          <w:ilvl w:val="0"/>
          <w:numId w:val="87"/>
        </w:numPr>
        <w:rPr>
          <w:rFonts w:ascii="Arial" w:cs="Arial" w:eastAsia="Arial" w:hAnsi="Arial"/>
          <w:sz w:val="16"/>
          <w:szCs w:val="16"/>
          <w:color w:val="2F8B9E"/>
        </w:rPr>
      </w:pPr>
      <w:r>
        <w:rPr>
          <w:rFonts w:ascii="Arial" w:cs="Arial" w:eastAsia="Arial" w:hAnsi="Arial"/>
          <w:sz w:val="16"/>
          <w:szCs w:val="16"/>
          <w:color w:val="auto"/>
        </w:rPr>
        <w:t xml:space="preserve">By Internet: Go to </w:t>
      </w:r>
      <w:r>
        <w:rPr>
          <w:rFonts w:ascii="Arial" w:cs="Arial" w:eastAsia="Arial" w:hAnsi="Arial"/>
          <w:sz w:val="16"/>
          <w:szCs w:val="16"/>
          <w:b w:val="1"/>
          <w:bCs w:val="1"/>
          <w:color w:val="auto"/>
        </w:rPr>
        <w:t>www.proxyvote.com</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87"/>
        </w:numPr>
        <w:rPr>
          <w:rFonts w:ascii="Arial" w:cs="Arial" w:eastAsia="Arial" w:hAnsi="Arial"/>
          <w:sz w:val="16"/>
          <w:szCs w:val="16"/>
          <w:color w:val="2F8B9E"/>
        </w:rPr>
      </w:pPr>
      <w:r>
        <w:rPr>
          <w:rFonts w:ascii="Arial" w:cs="Arial" w:eastAsia="Arial" w:hAnsi="Arial"/>
          <w:sz w:val="16"/>
          <w:szCs w:val="16"/>
          <w:color w:val="auto"/>
        </w:rPr>
        <w:t>By Phone: 1-800-579-1639</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87"/>
        </w:numPr>
        <w:rPr>
          <w:rFonts w:ascii="Arial" w:cs="Arial" w:eastAsia="Arial" w:hAnsi="Arial"/>
          <w:sz w:val="16"/>
          <w:szCs w:val="16"/>
          <w:color w:val="2F8B9E"/>
        </w:rPr>
      </w:pPr>
      <w:r>
        <w:rPr>
          <w:rFonts w:ascii="Arial" w:cs="Arial" w:eastAsia="Arial" w:hAnsi="Arial"/>
          <w:sz w:val="16"/>
          <w:szCs w:val="16"/>
          <w:color w:val="auto"/>
        </w:rPr>
        <w:t xml:space="preserve">By Email: </w:t>
      </w:r>
      <w:r>
        <w:rPr>
          <w:rFonts w:ascii="Arial" w:cs="Arial" w:eastAsia="Arial" w:hAnsi="Arial"/>
          <w:sz w:val="16"/>
          <w:szCs w:val="16"/>
          <w:b w:val="1"/>
          <w:bCs w:val="1"/>
          <w:color w:val="auto"/>
        </w:rPr>
        <w:t>sendmaterial@proxyvote.com</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Stock Ownership Information</w:t>
      </w:r>
    </w:p>
    <w:p>
      <w:pPr>
        <w:spacing w:after="0" w:line="213"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has a single class of common stock and each share is entitled to one vote. On March 6, 2026, the Company had outstanding 53,024,734 shares of common stock owned by 957 holders.</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Five Percent Owners of Company Stock</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as of March 6, 2026, the beneficial owners of more than 5% of Hubbell common stock:</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00" w:type="dxa"/>
            <w:vAlign w:val="bottom"/>
            <w:shd w:val="clear" w:color="auto" w:fill="FFE933"/>
          </w:tcPr>
          <w:p>
            <w:pPr>
              <w:spacing w:after="0"/>
              <w:rPr>
                <w:sz w:val="15"/>
                <w:szCs w:val="15"/>
                <w:color w:val="auto"/>
              </w:rPr>
            </w:pPr>
          </w:p>
        </w:tc>
        <w:tc>
          <w:tcPr>
            <w:tcW w:w="5060" w:type="dxa"/>
            <w:vAlign w:val="bottom"/>
            <w:shd w:val="clear" w:color="auto" w:fill="FFE933"/>
          </w:tcPr>
          <w:p>
            <w:pPr>
              <w:spacing w:after="0"/>
              <w:rPr>
                <w:sz w:val="15"/>
                <w:szCs w:val="15"/>
                <w:color w:val="auto"/>
              </w:rPr>
            </w:pPr>
          </w:p>
        </w:tc>
        <w:tc>
          <w:tcPr>
            <w:tcW w:w="3620" w:type="dxa"/>
            <w:vAlign w:val="bottom"/>
            <w:shd w:val="clear" w:color="auto" w:fill="FFE933"/>
          </w:tcPr>
          <w:p>
            <w:pPr>
              <w:jc w:val="right"/>
              <w:ind w:right="245"/>
              <w:spacing w:after="0"/>
              <w:rPr>
                <w:sz w:val="20"/>
                <w:szCs w:val="20"/>
                <w:color w:val="auto"/>
              </w:rPr>
            </w:pPr>
            <w:r>
              <w:rPr>
                <w:rFonts w:ascii="Arial" w:cs="Arial" w:eastAsia="Arial" w:hAnsi="Arial"/>
                <w:sz w:val="16"/>
                <w:szCs w:val="16"/>
                <w:b w:val="1"/>
                <w:bCs w:val="1"/>
                <w:color w:val="auto"/>
              </w:rPr>
              <w:t>Amount and Nature of</w:t>
            </w:r>
          </w:p>
        </w:tc>
        <w:tc>
          <w:tcPr>
            <w:tcW w:w="960" w:type="dxa"/>
            <w:vAlign w:val="bottom"/>
            <w:shd w:val="clear" w:color="auto" w:fill="FFE933"/>
          </w:tcPr>
          <w:p>
            <w:pPr>
              <w:jc w:val="right"/>
              <w:ind w:right="19"/>
              <w:spacing w:after="0"/>
              <w:rPr>
                <w:sz w:val="20"/>
                <w:szCs w:val="20"/>
                <w:color w:val="auto"/>
              </w:rPr>
            </w:pPr>
            <w:r>
              <w:rPr>
                <w:rFonts w:ascii="Arial" w:cs="Arial" w:eastAsia="Arial" w:hAnsi="Arial"/>
                <w:sz w:val="16"/>
                <w:szCs w:val="16"/>
                <w:b w:val="1"/>
                <w:bCs w:val="1"/>
                <w:color w:val="auto"/>
              </w:rPr>
              <w:t>Percent</w:t>
            </w:r>
          </w:p>
        </w:tc>
      </w:tr>
      <w:tr>
        <w:trPr>
          <w:trHeight w:val="203"/>
        </w:trPr>
        <w:tc>
          <w:tcPr>
            <w:tcW w:w="160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Title of Class</w:t>
            </w:r>
          </w:p>
        </w:tc>
        <w:tc>
          <w:tcPr>
            <w:tcW w:w="5060" w:type="dxa"/>
            <w:vAlign w:val="bottom"/>
            <w:shd w:val="clear" w:color="auto" w:fill="FFE933"/>
          </w:tcPr>
          <w:p>
            <w:pPr>
              <w:ind w:left="440"/>
              <w:spacing w:after="0"/>
              <w:rPr>
                <w:sz w:val="20"/>
                <w:szCs w:val="20"/>
                <w:color w:val="auto"/>
              </w:rPr>
            </w:pPr>
            <w:r>
              <w:rPr>
                <w:rFonts w:ascii="Arial" w:cs="Arial" w:eastAsia="Arial" w:hAnsi="Arial"/>
                <w:sz w:val="16"/>
                <w:szCs w:val="16"/>
                <w:b w:val="1"/>
                <w:bCs w:val="1"/>
                <w:color w:val="auto"/>
              </w:rPr>
              <w:t>Name and Address of Beneficial Owner</w:t>
            </w:r>
          </w:p>
        </w:tc>
        <w:tc>
          <w:tcPr>
            <w:tcW w:w="3620" w:type="dxa"/>
            <w:vAlign w:val="bottom"/>
            <w:shd w:val="clear" w:color="auto" w:fill="FFE933"/>
          </w:tcPr>
          <w:p>
            <w:pPr>
              <w:jc w:val="right"/>
              <w:ind w:right="185"/>
              <w:spacing w:after="0"/>
              <w:rPr>
                <w:sz w:val="20"/>
                <w:szCs w:val="20"/>
                <w:color w:val="auto"/>
              </w:rPr>
            </w:pPr>
            <w:r>
              <w:rPr>
                <w:rFonts w:ascii="Arial" w:cs="Arial" w:eastAsia="Arial" w:hAnsi="Arial"/>
                <w:sz w:val="16"/>
                <w:szCs w:val="16"/>
                <w:b w:val="1"/>
                <w:bCs w:val="1"/>
                <w:color w:val="auto"/>
              </w:rPr>
              <w:t>Beneficial Ownership</w:t>
            </w:r>
          </w:p>
        </w:tc>
        <w:tc>
          <w:tcPr>
            <w:tcW w:w="96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of Class</w:t>
            </w:r>
          </w:p>
        </w:tc>
      </w:tr>
      <w:tr>
        <w:trPr>
          <w:trHeight w:val="189"/>
        </w:trPr>
        <w:tc>
          <w:tcPr>
            <w:tcW w:w="1600" w:type="dxa"/>
            <w:vAlign w:val="bottom"/>
          </w:tcPr>
          <w:p>
            <w:pPr>
              <w:ind w:left="60"/>
              <w:spacing w:after="0"/>
              <w:rPr>
                <w:sz w:val="20"/>
                <w:szCs w:val="20"/>
                <w:color w:val="auto"/>
              </w:rPr>
            </w:pPr>
            <w:r>
              <w:rPr>
                <w:rFonts w:ascii="Arial" w:cs="Arial" w:eastAsia="Arial" w:hAnsi="Arial"/>
                <w:sz w:val="16"/>
                <w:szCs w:val="16"/>
                <w:color w:val="auto"/>
              </w:rPr>
              <w:t>Common Stock</w:t>
            </w:r>
          </w:p>
        </w:tc>
        <w:tc>
          <w:tcPr>
            <w:tcW w:w="5060" w:type="dxa"/>
            <w:vAlign w:val="bottom"/>
          </w:tcPr>
          <w:p>
            <w:pPr>
              <w:ind w:left="440"/>
              <w:spacing w:after="0"/>
              <w:rPr>
                <w:sz w:val="20"/>
                <w:szCs w:val="20"/>
                <w:color w:val="auto"/>
              </w:rPr>
            </w:pPr>
            <w:r>
              <w:rPr>
                <w:rFonts w:ascii="Arial" w:cs="Arial" w:eastAsia="Arial" w:hAnsi="Arial"/>
                <w:sz w:val="16"/>
                <w:szCs w:val="16"/>
                <w:color w:val="auto"/>
              </w:rPr>
              <w:t>The Vanguard Group</w:t>
            </w:r>
          </w:p>
        </w:tc>
        <w:tc>
          <w:tcPr>
            <w:tcW w:w="3620" w:type="dxa"/>
            <w:vAlign w:val="bottom"/>
          </w:tcPr>
          <w:p>
            <w:pPr>
              <w:jc w:val="right"/>
              <w:ind w:right="185"/>
              <w:spacing w:after="0" w:line="189" w:lineRule="exact"/>
              <w:rPr>
                <w:sz w:val="20"/>
                <w:szCs w:val="20"/>
                <w:color w:val="auto"/>
              </w:rPr>
            </w:pPr>
            <w:r>
              <w:rPr>
                <w:rFonts w:ascii="Arial" w:cs="Arial" w:eastAsia="Arial" w:hAnsi="Arial"/>
                <w:sz w:val="14"/>
                <w:szCs w:val="14"/>
                <w:color w:val="auto"/>
              </w:rPr>
              <w:t>6,696,582</w:t>
            </w:r>
            <w:r>
              <w:rPr>
                <w:rFonts w:ascii="Arial" w:cs="Arial" w:eastAsia="Arial" w:hAnsi="Arial"/>
                <w:sz w:val="21"/>
                <w:szCs w:val="21"/>
                <w:color w:val="auto"/>
                <w:vertAlign w:val="superscript"/>
              </w:rPr>
              <w:t>(1)</w:t>
            </w:r>
          </w:p>
        </w:tc>
        <w:tc>
          <w:tcPr>
            <w:tcW w:w="9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175"/>
        </w:trPr>
        <w:tc>
          <w:tcPr>
            <w:tcW w:w="1600" w:type="dxa"/>
            <w:vAlign w:val="bottom"/>
          </w:tcPr>
          <w:p>
            <w:pPr>
              <w:spacing w:after="0"/>
              <w:rPr>
                <w:sz w:val="15"/>
                <w:szCs w:val="15"/>
                <w:color w:val="auto"/>
              </w:rPr>
            </w:pPr>
          </w:p>
        </w:tc>
        <w:tc>
          <w:tcPr>
            <w:tcW w:w="5060" w:type="dxa"/>
            <w:vAlign w:val="bottom"/>
          </w:tcPr>
          <w:p>
            <w:pPr>
              <w:ind w:left="440"/>
              <w:spacing w:after="0" w:line="175" w:lineRule="exact"/>
              <w:rPr>
                <w:sz w:val="20"/>
                <w:szCs w:val="20"/>
                <w:color w:val="auto"/>
              </w:rPr>
            </w:pPr>
            <w:r>
              <w:rPr>
                <w:rFonts w:ascii="Arial" w:cs="Arial" w:eastAsia="Arial" w:hAnsi="Arial"/>
                <w:sz w:val="16"/>
                <w:szCs w:val="16"/>
                <w:color w:val="auto"/>
              </w:rPr>
              <w:t>100 Vanguard Blvd.</w:t>
            </w:r>
          </w:p>
        </w:tc>
        <w:tc>
          <w:tcPr>
            <w:tcW w:w="3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1600" w:type="dxa"/>
            <w:vAlign w:val="bottom"/>
            <w:tcBorders>
              <w:bottom w:val="single" w:sz="8" w:color="BCBEC0"/>
            </w:tcBorders>
          </w:tcPr>
          <w:p>
            <w:pPr>
              <w:spacing w:after="0"/>
              <w:rPr>
                <w:sz w:val="17"/>
                <w:szCs w:val="17"/>
                <w:color w:val="auto"/>
              </w:rPr>
            </w:pPr>
          </w:p>
        </w:tc>
        <w:tc>
          <w:tcPr>
            <w:tcW w:w="5060" w:type="dxa"/>
            <w:vAlign w:val="bottom"/>
            <w:tcBorders>
              <w:bottom w:val="single" w:sz="8" w:color="BCBEC0"/>
            </w:tcBorders>
          </w:tcPr>
          <w:p>
            <w:pPr>
              <w:ind w:left="440"/>
              <w:spacing w:after="0"/>
              <w:rPr>
                <w:sz w:val="20"/>
                <w:szCs w:val="20"/>
                <w:color w:val="auto"/>
              </w:rPr>
            </w:pPr>
            <w:r>
              <w:rPr>
                <w:rFonts w:ascii="Arial" w:cs="Arial" w:eastAsia="Arial" w:hAnsi="Arial"/>
                <w:sz w:val="16"/>
                <w:szCs w:val="16"/>
                <w:color w:val="auto"/>
              </w:rPr>
              <w:t>Malvern, PA 19355</w:t>
            </w:r>
          </w:p>
        </w:tc>
        <w:tc>
          <w:tcPr>
            <w:tcW w:w="3620" w:type="dxa"/>
            <w:vAlign w:val="bottom"/>
            <w:tcBorders>
              <w:bottom w:val="single" w:sz="8" w:color="BCBEC0"/>
            </w:tcBorders>
          </w:tcPr>
          <w:p>
            <w:pPr>
              <w:spacing w:after="0"/>
              <w:rPr>
                <w:sz w:val="17"/>
                <w:szCs w:val="17"/>
                <w:color w:val="auto"/>
              </w:rPr>
            </w:pPr>
          </w:p>
        </w:tc>
        <w:tc>
          <w:tcPr>
            <w:tcW w:w="960" w:type="dxa"/>
            <w:vAlign w:val="bottom"/>
            <w:tcBorders>
              <w:bottom w:val="single" w:sz="8" w:color="BCBEC0"/>
            </w:tcBorders>
          </w:tcPr>
          <w:p>
            <w:pPr>
              <w:spacing w:after="0"/>
              <w:rPr>
                <w:sz w:val="17"/>
                <w:szCs w:val="17"/>
                <w:color w:val="auto"/>
              </w:rPr>
            </w:pPr>
          </w:p>
        </w:tc>
      </w:tr>
      <w:tr>
        <w:trPr>
          <w:trHeight w:val="183"/>
        </w:trPr>
        <w:tc>
          <w:tcPr>
            <w:tcW w:w="1600" w:type="dxa"/>
            <w:vAlign w:val="bottom"/>
          </w:tcPr>
          <w:p>
            <w:pPr>
              <w:ind w:left="60"/>
              <w:spacing w:after="0" w:line="183" w:lineRule="exact"/>
              <w:rPr>
                <w:sz w:val="20"/>
                <w:szCs w:val="20"/>
                <w:color w:val="auto"/>
              </w:rPr>
            </w:pPr>
            <w:r>
              <w:rPr>
                <w:rFonts w:ascii="Arial" w:cs="Arial" w:eastAsia="Arial" w:hAnsi="Arial"/>
                <w:sz w:val="16"/>
                <w:szCs w:val="16"/>
                <w:color w:val="auto"/>
              </w:rPr>
              <w:t>Common Stock</w:t>
            </w:r>
          </w:p>
        </w:tc>
        <w:tc>
          <w:tcPr>
            <w:tcW w:w="5060" w:type="dxa"/>
            <w:vAlign w:val="bottom"/>
          </w:tcPr>
          <w:p>
            <w:pPr>
              <w:ind w:left="440"/>
              <w:spacing w:after="0" w:line="183" w:lineRule="exact"/>
              <w:rPr>
                <w:sz w:val="20"/>
                <w:szCs w:val="20"/>
                <w:color w:val="auto"/>
              </w:rPr>
            </w:pPr>
            <w:r>
              <w:rPr>
                <w:rFonts w:ascii="Arial" w:cs="Arial" w:eastAsia="Arial" w:hAnsi="Arial"/>
                <w:sz w:val="16"/>
                <w:szCs w:val="16"/>
                <w:color w:val="auto"/>
              </w:rPr>
              <w:t>BlackRock, Inc.</w:t>
            </w:r>
          </w:p>
        </w:tc>
        <w:tc>
          <w:tcPr>
            <w:tcW w:w="3620" w:type="dxa"/>
            <w:vAlign w:val="bottom"/>
          </w:tcPr>
          <w:p>
            <w:pPr>
              <w:jc w:val="right"/>
              <w:ind w:right="185"/>
              <w:spacing w:after="0" w:line="183" w:lineRule="exact"/>
              <w:rPr>
                <w:sz w:val="20"/>
                <w:szCs w:val="20"/>
                <w:color w:val="auto"/>
              </w:rPr>
            </w:pPr>
            <w:r>
              <w:rPr>
                <w:rFonts w:ascii="Arial" w:cs="Arial" w:eastAsia="Arial" w:hAnsi="Arial"/>
                <w:sz w:val="14"/>
                <w:szCs w:val="14"/>
                <w:color w:val="auto"/>
              </w:rPr>
              <w:t>4,013,112</w:t>
            </w:r>
            <w:r>
              <w:rPr>
                <w:rFonts w:ascii="Arial" w:cs="Arial" w:eastAsia="Arial" w:hAnsi="Arial"/>
                <w:sz w:val="21"/>
                <w:szCs w:val="21"/>
                <w:color w:val="auto"/>
                <w:vertAlign w:val="superscript"/>
              </w:rPr>
              <w:t>(2)</w:t>
            </w: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7.6%</w:t>
            </w:r>
          </w:p>
        </w:tc>
      </w:tr>
      <w:tr>
        <w:trPr>
          <w:trHeight w:val="175"/>
        </w:trPr>
        <w:tc>
          <w:tcPr>
            <w:tcW w:w="1600" w:type="dxa"/>
            <w:vAlign w:val="bottom"/>
          </w:tcPr>
          <w:p>
            <w:pPr>
              <w:spacing w:after="0"/>
              <w:rPr>
                <w:sz w:val="15"/>
                <w:szCs w:val="15"/>
                <w:color w:val="auto"/>
              </w:rPr>
            </w:pPr>
          </w:p>
        </w:tc>
        <w:tc>
          <w:tcPr>
            <w:tcW w:w="5060" w:type="dxa"/>
            <w:vAlign w:val="bottom"/>
          </w:tcPr>
          <w:p>
            <w:pPr>
              <w:ind w:left="440"/>
              <w:spacing w:after="0" w:line="175" w:lineRule="exact"/>
              <w:rPr>
                <w:sz w:val="20"/>
                <w:szCs w:val="20"/>
                <w:color w:val="auto"/>
              </w:rPr>
            </w:pPr>
            <w:r>
              <w:rPr>
                <w:rFonts w:ascii="Arial" w:cs="Arial" w:eastAsia="Arial" w:hAnsi="Arial"/>
                <w:sz w:val="16"/>
                <w:szCs w:val="16"/>
                <w:color w:val="auto"/>
              </w:rPr>
              <w:t>50 Hudson Yards</w:t>
            </w:r>
          </w:p>
        </w:tc>
        <w:tc>
          <w:tcPr>
            <w:tcW w:w="362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03"/>
        </w:trPr>
        <w:tc>
          <w:tcPr>
            <w:tcW w:w="1600" w:type="dxa"/>
            <w:vAlign w:val="bottom"/>
            <w:tcBorders>
              <w:bottom w:val="single" w:sz="8" w:color="BCBEC0"/>
            </w:tcBorders>
          </w:tcPr>
          <w:p>
            <w:pPr>
              <w:spacing w:after="0"/>
              <w:rPr>
                <w:sz w:val="17"/>
                <w:szCs w:val="17"/>
                <w:color w:val="auto"/>
              </w:rPr>
            </w:pPr>
          </w:p>
        </w:tc>
        <w:tc>
          <w:tcPr>
            <w:tcW w:w="5060" w:type="dxa"/>
            <w:vAlign w:val="bottom"/>
            <w:tcBorders>
              <w:bottom w:val="single" w:sz="8" w:color="BCBEC0"/>
            </w:tcBorders>
          </w:tcPr>
          <w:p>
            <w:pPr>
              <w:ind w:left="440"/>
              <w:spacing w:after="0"/>
              <w:rPr>
                <w:sz w:val="20"/>
                <w:szCs w:val="20"/>
                <w:color w:val="auto"/>
              </w:rPr>
            </w:pPr>
            <w:r>
              <w:rPr>
                <w:rFonts w:ascii="Arial" w:cs="Arial" w:eastAsia="Arial" w:hAnsi="Arial"/>
                <w:sz w:val="16"/>
                <w:szCs w:val="16"/>
                <w:color w:val="auto"/>
              </w:rPr>
              <w:t>New York, NY 10001</w:t>
            </w:r>
          </w:p>
        </w:tc>
        <w:tc>
          <w:tcPr>
            <w:tcW w:w="3620" w:type="dxa"/>
            <w:vAlign w:val="bottom"/>
            <w:tcBorders>
              <w:bottom w:val="single" w:sz="8" w:color="BCBEC0"/>
            </w:tcBorders>
          </w:tcPr>
          <w:p>
            <w:pPr>
              <w:spacing w:after="0"/>
              <w:rPr>
                <w:sz w:val="17"/>
                <w:szCs w:val="17"/>
                <w:color w:val="auto"/>
              </w:rPr>
            </w:pPr>
          </w:p>
        </w:tc>
        <w:tc>
          <w:tcPr>
            <w:tcW w:w="960" w:type="dxa"/>
            <w:vAlign w:val="bottom"/>
            <w:tcBorders>
              <w:bottom w:val="single" w:sz="8" w:color="BCBEC0"/>
            </w:tcBorders>
          </w:tcPr>
          <w:p>
            <w:pPr>
              <w:spacing w:after="0"/>
              <w:rPr>
                <w:sz w:val="17"/>
                <w:szCs w:val="17"/>
                <w:color w:val="auto"/>
              </w:rPr>
            </w:pPr>
          </w:p>
        </w:tc>
      </w:tr>
    </w:tbl>
    <w:p>
      <w:pPr>
        <w:spacing w:after="0" w:line="47" w:lineRule="exact"/>
        <w:rPr>
          <w:sz w:val="20"/>
          <w:szCs w:val="20"/>
          <w:color w:val="auto"/>
        </w:rPr>
      </w:pPr>
    </w:p>
    <w:p>
      <w:pPr>
        <w:jc w:val="both"/>
        <w:ind w:left="340" w:hanging="332"/>
        <w:spacing w:after="0" w:line="205" w:lineRule="auto"/>
        <w:tabs>
          <w:tab w:leader="none" w:pos="340" w:val="left"/>
        </w:tabs>
        <w:numPr>
          <w:ilvl w:val="0"/>
          <w:numId w:val="8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Company received a copy of a Schedule 13G/A filed with the SEC on February 13, 2024, by The Vanguard Group (“Vanguard”) reporting ownership of these shares as of December 31, 2023. According to the Schedule 13G/A, Vanguard has sole voting power as to none of these shares, sole dispositive power as to 6,475,124 of these shares, shared voting power as to 67,784 of these shares, and shared dispositive power as to 221,458 of these shares.</w:t>
      </w:r>
    </w:p>
    <w:p>
      <w:pPr>
        <w:spacing w:after="0" w:line="29"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88"/>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The Company received a copy of a Schedule 13G/A filed with the SEC on April 24, 2025, by BlackRock, Inc. (“BlackRock”) reporting ownership of these shares as of March 31, 2025. According to the Schedule 13G/A, BlackRock has sole voting power as to 3,620,235 of these shares, sole dispositive power as to 4,013,112 of these shares, shared voting power as to none of these shares, and shared dispositive power as to none of these shares.</w:t>
      </w:r>
    </w:p>
    <w:p>
      <w:pPr>
        <w:spacing w:after="0" w:line="157"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78</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color w:val="auto"/>
        </w:rPr>
        <w:t>Stock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39433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Our Directors and officers have stock ownership requirements that align their interests with our shareholders.</w:t>
      </w:r>
    </w:p>
    <w:p>
      <w:pPr>
        <w:spacing w:after="0" w:line="37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Our Corporate Governance Guidelines require every Director to own Company stock equal in value to five times their annual base cash retainer. Directors have until the fifth anniversary of the date on which they receive their first annual restricted share grant to satisfy this requirement. Directors who do not meet the ownership minimum must retain all Company shares they directly or indirectly obtain. </w:t>
      </w:r>
      <w:r>
        <w:rPr>
          <w:rFonts w:ascii="Arial" w:cs="Arial" w:eastAsia="Arial" w:hAnsi="Arial"/>
          <w:sz w:val="16"/>
          <w:szCs w:val="16"/>
          <w:b w:val="1"/>
          <w:bCs w:val="1"/>
          <w:color w:val="auto"/>
        </w:rPr>
        <w:t>All Directors satisfy the ownership requirements</w:t>
      </w:r>
      <w:r>
        <w:rPr>
          <w:rFonts w:ascii="Arial" w:cs="Arial" w:eastAsia="Arial" w:hAnsi="Arial"/>
          <w:sz w:val="16"/>
          <w:szCs w:val="16"/>
          <w:color w:val="auto"/>
        </w:rPr>
        <w: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The section entitled “Stock Ownership and Retention Policy” on page 53 details stock ownership and retention requirements for the NEOs and executive officers of the Company. The Guidelines and the Stock Ownership Policy can both be viewed on the Company’s website at </w:t>
      </w:r>
      <w:r>
        <w:rPr>
          <w:rFonts w:ascii="Arial" w:cs="Arial" w:eastAsia="Arial" w:hAnsi="Arial"/>
          <w:sz w:val="16"/>
          <w:szCs w:val="16"/>
          <w:b w:val="1"/>
          <w:bCs w:val="1"/>
          <w:color w:val="auto"/>
        </w:rPr>
        <w:t>www.hubbell.com</w:t>
      </w:r>
      <w:r>
        <w:rPr>
          <w:rFonts w:ascii="Arial" w:cs="Arial" w:eastAsia="Arial" w:hAnsi="Arial"/>
          <w:sz w:val="16"/>
          <w:szCs w:val="16"/>
          <w:color w:val="auto"/>
        </w:rPr>
        <w:t>. The reference to our website address does not constitute incorporation by reference of the information contained on the website, and such information is not a part of this Proxy Statement.</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executive officers, including all current NEOs, are in compliance with the Stock Ownership Policy.</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following table sets forth as of March 6, 2026, information regarding the beneficial ownership of Hubbell common stock by each Director, each of the NEOs, and by all Directors and current executive officers of the Company as a group.</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to the shares of Hubbell common stock reflected in the Total Beneficial Ownership column below, our Directors hold stock units and restricted stock units, as applicable, under the Deferred Plan for Directors. These deferred stock units are reflected in footnotes (2) and (3) in the table below and are further detailed in the Deferred Compensation Plan section on page 33. To our knowledge, except as indicated in the footnotes to this table and pursuant to applicable community property laws, the individuals listed in the table have sole investment and voting power with respect to all Company securities owned by them.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shd w:val="clear" w:color="auto" w:fill="FFE933"/>
          </w:tcPr>
          <w:p>
            <w:pPr>
              <w:spacing w:after="0"/>
              <w:rPr>
                <w:sz w:val="16"/>
                <w:szCs w:val="16"/>
                <w:color w:val="auto"/>
              </w:rPr>
            </w:pPr>
          </w:p>
        </w:tc>
        <w:tc>
          <w:tcPr>
            <w:tcW w:w="1120" w:type="dxa"/>
            <w:vAlign w:val="bottom"/>
            <w:shd w:val="clear" w:color="auto" w:fill="FFE933"/>
          </w:tcPr>
          <w:p>
            <w:pPr>
              <w:spacing w:after="0"/>
              <w:rPr>
                <w:sz w:val="16"/>
                <w:szCs w:val="16"/>
                <w:color w:val="auto"/>
              </w:rPr>
            </w:pPr>
          </w:p>
        </w:tc>
        <w:tc>
          <w:tcPr>
            <w:tcW w:w="1780" w:type="dxa"/>
            <w:vAlign w:val="bottom"/>
            <w:shd w:val="clear" w:color="auto" w:fill="FFE933"/>
          </w:tcPr>
          <w:p>
            <w:pPr>
              <w:spacing w:after="0"/>
              <w:rPr>
                <w:sz w:val="16"/>
                <w:szCs w:val="16"/>
                <w:color w:val="auto"/>
              </w:rPr>
            </w:pPr>
          </w:p>
        </w:tc>
        <w:tc>
          <w:tcPr>
            <w:tcW w:w="1220" w:type="dxa"/>
            <w:vAlign w:val="bottom"/>
            <w:shd w:val="clear" w:color="auto" w:fill="FFE933"/>
          </w:tcPr>
          <w:p>
            <w:pPr>
              <w:spacing w:after="0"/>
              <w:rPr>
                <w:sz w:val="16"/>
                <w:szCs w:val="16"/>
                <w:color w:val="auto"/>
              </w:rPr>
            </w:pPr>
          </w:p>
        </w:tc>
        <w:tc>
          <w:tcPr>
            <w:tcW w:w="360" w:type="dxa"/>
            <w:vAlign w:val="bottom"/>
            <w:shd w:val="clear" w:color="auto" w:fill="FFE933"/>
          </w:tcPr>
          <w:p>
            <w:pPr>
              <w:spacing w:after="0"/>
              <w:rPr>
                <w:sz w:val="16"/>
                <w:szCs w:val="16"/>
                <w:color w:val="auto"/>
              </w:rPr>
            </w:pPr>
          </w:p>
        </w:tc>
        <w:tc>
          <w:tcPr>
            <w:tcW w:w="128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Aggregate</w:t>
            </w:r>
          </w:p>
        </w:tc>
        <w:tc>
          <w:tcPr>
            <w:tcW w:w="1400" w:type="dxa"/>
            <w:vAlign w:val="bottom"/>
            <w:shd w:val="clear" w:color="auto" w:fill="FFE933"/>
          </w:tcPr>
          <w:p>
            <w:pPr>
              <w:jc w:val="right"/>
              <w:ind w:right="99"/>
              <w:spacing w:after="0"/>
              <w:rPr>
                <w:sz w:val="20"/>
                <w:szCs w:val="20"/>
                <w:color w:val="auto"/>
              </w:rPr>
            </w:pPr>
            <w:r>
              <w:rPr>
                <w:rFonts w:ascii="Arial" w:cs="Arial" w:eastAsia="Arial" w:hAnsi="Arial"/>
                <w:sz w:val="16"/>
                <w:szCs w:val="16"/>
                <w:b w:val="1"/>
                <w:bCs w:val="1"/>
                <w:color w:val="auto"/>
              </w:rPr>
              <w:t>Aggregate No.</w:t>
            </w:r>
          </w:p>
        </w:tc>
        <w:tc>
          <w:tcPr>
            <w:tcW w:w="1080" w:type="dxa"/>
            <w:vAlign w:val="bottom"/>
            <w:shd w:val="clear" w:color="auto" w:fill="FFE933"/>
          </w:tcPr>
          <w:p>
            <w:pPr>
              <w:spacing w:after="0"/>
              <w:rPr>
                <w:sz w:val="16"/>
                <w:szCs w:val="16"/>
                <w:color w:val="auto"/>
              </w:rPr>
            </w:pPr>
          </w:p>
        </w:tc>
      </w:tr>
      <w:tr>
        <w:trPr>
          <w:trHeight w:val="203"/>
        </w:trPr>
        <w:tc>
          <w:tcPr>
            <w:tcW w:w="3000" w:type="dxa"/>
            <w:vAlign w:val="bottom"/>
            <w:shd w:val="clear" w:color="auto" w:fill="FFE933"/>
          </w:tcPr>
          <w:p>
            <w:pPr>
              <w:spacing w:after="0"/>
              <w:rPr>
                <w:sz w:val="17"/>
                <w:szCs w:val="17"/>
                <w:color w:val="auto"/>
              </w:rPr>
            </w:pPr>
          </w:p>
        </w:tc>
        <w:tc>
          <w:tcPr>
            <w:tcW w:w="1120" w:type="dxa"/>
            <w:vAlign w:val="bottom"/>
            <w:shd w:val="clear" w:color="auto" w:fill="FFE933"/>
          </w:tcPr>
          <w:p>
            <w:pPr>
              <w:spacing w:after="0"/>
              <w:rPr>
                <w:sz w:val="17"/>
                <w:szCs w:val="17"/>
                <w:color w:val="auto"/>
              </w:rPr>
            </w:pPr>
          </w:p>
        </w:tc>
        <w:tc>
          <w:tcPr>
            <w:tcW w:w="1780" w:type="dxa"/>
            <w:vAlign w:val="bottom"/>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Shares Obtainable</w:t>
            </w:r>
          </w:p>
        </w:tc>
        <w:tc>
          <w:tcPr>
            <w:tcW w:w="1220" w:type="dxa"/>
            <w:vAlign w:val="bottom"/>
            <w:shd w:val="clear" w:color="auto" w:fill="FFE933"/>
          </w:tcPr>
          <w:p>
            <w:pPr>
              <w:jc w:val="right"/>
              <w:ind w:right="101"/>
              <w:spacing w:after="0"/>
              <w:rPr>
                <w:sz w:val="20"/>
                <w:szCs w:val="20"/>
                <w:color w:val="auto"/>
              </w:rPr>
            </w:pPr>
            <w:r>
              <w:rPr>
                <w:rFonts w:ascii="Arial" w:cs="Arial" w:eastAsia="Arial" w:hAnsi="Arial"/>
                <w:sz w:val="16"/>
                <w:szCs w:val="16"/>
                <w:b w:val="1"/>
                <w:bCs w:val="1"/>
                <w:color w:val="auto"/>
              </w:rPr>
              <w:t>Total</w:t>
            </w:r>
          </w:p>
        </w:tc>
        <w:tc>
          <w:tcPr>
            <w:tcW w:w="360" w:type="dxa"/>
            <w:vAlign w:val="bottom"/>
            <w:shd w:val="clear" w:color="auto" w:fill="FFE933"/>
          </w:tcPr>
          <w:p>
            <w:pPr>
              <w:spacing w:after="0"/>
              <w:rPr>
                <w:sz w:val="17"/>
                <w:szCs w:val="17"/>
                <w:color w:val="auto"/>
              </w:rPr>
            </w:pPr>
          </w:p>
        </w:tc>
        <w:tc>
          <w:tcPr>
            <w:tcW w:w="128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No.</w:t>
            </w:r>
          </w:p>
        </w:tc>
        <w:tc>
          <w:tcPr>
            <w:tcW w:w="1400" w:type="dxa"/>
            <w:vAlign w:val="bottom"/>
            <w:shd w:val="clear" w:color="auto" w:fill="FFE933"/>
          </w:tcPr>
          <w:p>
            <w:pPr>
              <w:jc w:val="right"/>
              <w:ind w:right="139"/>
              <w:spacing w:after="0"/>
              <w:rPr>
                <w:sz w:val="20"/>
                <w:szCs w:val="20"/>
                <w:color w:val="auto"/>
              </w:rPr>
            </w:pPr>
            <w:r>
              <w:rPr>
                <w:rFonts w:ascii="Arial" w:cs="Arial" w:eastAsia="Arial" w:hAnsi="Arial"/>
                <w:sz w:val="16"/>
                <w:szCs w:val="16"/>
                <w:b w:val="1"/>
                <w:bCs w:val="1"/>
                <w:color w:val="auto"/>
              </w:rPr>
              <w:t>of Restricted</w:t>
            </w:r>
          </w:p>
        </w:tc>
        <w:tc>
          <w:tcPr>
            <w:tcW w:w="1080" w:type="dxa"/>
            <w:vAlign w:val="bottom"/>
            <w:shd w:val="clear" w:color="auto" w:fill="FFE933"/>
          </w:tcPr>
          <w:p>
            <w:pPr>
              <w:spacing w:after="0"/>
              <w:rPr>
                <w:sz w:val="17"/>
                <w:szCs w:val="17"/>
                <w:color w:val="auto"/>
              </w:rPr>
            </w:pPr>
          </w:p>
        </w:tc>
      </w:tr>
      <w:tr>
        <w:trPr>
          <w:trHeight w:val="189"/>
        </w:trPr>
        <w:tc>
          <w:tcPr>
            <w:tcW w:w="3000" w:type="dxa"/>
            <w:vAlign w:val="bottom"/>
            <w:shd w:val="clear" w:color="auto" w:fill="FFE933"/>
          </w:tcPr>
          <w:p>
            <w:pPr>
              <w:spacing w:after="0"/>
              <w:rPr>
                <w:sz w:val="16"/>
                <w:szCs w:val="16"/>
                <w:color w:val="auto"/>
              </w:rPr>
            </w:pPr>
          </w:p>
        </w:tc>
        <w:tc>
          <w:tcPr>
            <w:tcW w:w="1120" w:type="dxa"/>
            <w:vAlign w:val="bottom"/>
            <w:shd w:val="clear" w:color="auto" w:fill="FFE933"/>
          </w:tcPr>
          <w:p>
            <w:pPr>
              <w:jc w:val="right"/>
              <w:ind w:right="79"/>
              <w:spacing w:after="0"/>
              <w:rPr>
                <w:sz w:val="20"/>
                <w:szCs w:val="20"/>
                <w:color w:val="auto"/>
              </w:rPr>
            </w:pPr>
            <w:r>
              <w:rPr>
                <w:rFonts w:ascii="Arial" w:cs="Arial" w:eastAsia="Arial" w:hAnsi="Arial"/>
                <w:sz w:val="16"/>
                <w:szCs w:val="16"/>
                <w:b w:val="1"/>
                <w:bCs w:val="1"/>
                <w:color w:val="auto"/>
              </w:rPr>
              <w:t>Common</w:t>
            </w:r>
          </w:p>
        </w:tc>
        <w:tc>
          <w:tcPr>
            <w:tcW w:w="1780" w:type="dxa"/>
            <w:vAlign w:val="bottom"/>
            <w:shd w:val="clear" w:color="auto" w:fill="FFE933"/>
          </w:tcPr>
          <w:p>
            <w:pPr>
              <w:jc w:val="right"/>
              <w:ind w:right="159"/>
              <w:spacing w:after="0"/>
              <w:rPr>
                <w:sz w:val="20"/>
                <w:szCs w:val="20"/>
                <w:color w:val="auto"/>
              </w:rPr>
            </w:pPr>
            <w:r>
              <w:rPr>
                <w:rFonts w:ascii="Arial" w:cs="Arial" w:eastAsia="Arial" w:hAnsi="Arial"/>
                <w:sz w:val="16"/>
                <w:szCs w:val="16"/>
                <w:b w:val="1"/>
                <w:bCs w:val="1"/>
                <w:color w:val="auto"/>
              </w:rPr>
              <w:t>Upon Exercise of</w:t>
            </w:r>
          </w:p>
        </w:tc>
        <w:tc>
          <w:tcPr>
            <w:tcW w:w="1220" w:type="dxa"/>
            <w:vAlign w:val="bottom"/>
            <w:shd w:val="clear" w:color="auto" w:fill="FFE933"/>
          </w:tcPr>
          <w:p>
            <w:pPr>
              <w:jc w:val="right"/>
              <w:ind w:right="101"/>
              <w:spacing w:after="0"/>
              <w:rPr>
                <w:sz w:val="20"/>
                <w:szCs w:val="20"/>
                <w:color w:val="auto"/>
              </w:rPr>
            </w:pPr>
            <w:r>
              <w:rPr>
                <w:rFonts w:ascii="Arial" w:cs="Arial" w:eastAsia="Arial" w:hAnsi="Arial"/>
                <w:sz w:val="16"/>
                <w:szCs w:val="16"/>
                <w:b w:val="1"/>
                <w:bCs w:val="1"/>
                <w:color w:val="auto"/>
              </w:rPr>
              <w:t>Beneficial</w:t>
            </w:r>
          </w:p>
        </w:tc>
        <w:tc>
          <w:tcPr>
            <w:tcW w:w="360" w:type="dxa"/>
            <w:vAlign w:val="bottom"/>
            <w:shd w:val="clear" w:color="auto" w:fill="FFE933"/>
          </w:tcPr>
          <w:p>
            <w:pPr>
              <w:spacing w:after="0"/>
              <w:rPr>
                <w:sz w:val="16"/>
                <w:szCs w:val="16"/>
                <w:color w:val="auto"/>
              </w:rPr>
            </w:pPr>
          </w:p>
        </w:tc>
        <w:tc>
          <w:tcPr>
            <w:tcW w:w="128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of Stock</w:t>
            </w:r>
          </w:p>
        </w:tc>
        <w:tc>
          <w:tcPr>
            <w:tcW w:w="1400" w:type="dxa"/>
            <w:vAlign w:val="bottom"/>
            <w:shd w:val="clear" w:color="auto" w:fill="FFE933"/>
          </w:tcPr>
          <w:p>
            <w:pPr>
              <w:jc w:val="right"/>
              <w:ind w:right="139"/>
              <w:spacing w:after="0"/>
              <w:rPr>
                <w:sz w:val="20"/>
                <w:szCs w:val="20"/>
                <w:color w:val="auto"/>
              </w:rPr>
            </w:pPr>
            <w:r>
              <w:rPr>
                <w:rFonts w:ascii="Arial" w:cs="Arial" w:eastAsia="Arial" w:hAnsi="Arial"/>
                <w:sz w:val="16"/>
                <w:szCs w:val="16"/>
                <w:b w:val="1"/>
                <w:bCs w:val="1"/>
                <w:color w:val="auto"/>
              </w:rPr>
              <w:t>Stock</w:t>
            </w:r>
          </w:p>
        </w:tc>
        <w:tc>
          <w:tcPr>
            <w:tcW w:w="1080" w:type="dxa"/>
            <w:vAlign w:val="bottom"/>
            <w:shd w:val="clear" w:color="auto" w:fill="FFE933"/>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229"/>
        </w:trPr>
        <w:tc>
          <w:tcPr>
            <w:tcW w:w="3000" w:type="dxa"/>
            <w:vAlign w:val="bottom"/>
            <w:shd w:val="clear" w:color="auto" w:fill="FFE933"/>
          </w:tcPr>
          <w:p>
            <w:pPr>
              <w:ind w:left="60"/>
              <w:spacing w:after="0"/>
              <w:rPr>
                <w:sz w:val="20"/>
                <w:szCs w:val="20"/>
                <w:color w:val="auto"/>
              </w:rPr>
            </w:pPr>
            <w:r>
              <w:rPr>
                <w:rFonts w:ascii="Arial" w:cs="Arial" w:eastAsia="Arial" w:hAnsi="Arial"/>
                <w:sz w:val="16"/>
                <w:szCs w:val="16"/>
                <w:b w:val="1"/>
                <w:bCs w:val="1"/>
                <w:color w:val="auto"/>
              </w:rPr>
              <w:t>Name and Title of Class</w:t>
            </w:r>
          </w:p>
        </w:tc>
        <w:tc>
          <w:tcPr>
            <w:tcW w:w="1120" w:type="dxa"/>
            <w:vAlign w:val="bottom"/>
            <w:shd w:val="clear" w:color="auto" w:fill="FFE933"/>
          </w:tcPr>
          <w:p>
            <w:pPr>
              <w:jc w:val="right"/>
              <w:ind w:right="39"/>
              <w:spacing w:after="0"/>
              <w:rPr>
                <w:sz w:val="20"/>
                <w:szCs w:val="20"/>
                <w:color w:val="auto"/>
              </w:rPr>
            </w:pPr>
            <w:r>
              <w:rPr>
                <w:rFonts w:ascii="Arial" w:cs="Arial" w:eastAsia="Arial" w:hAnsi="Arial"/>
                <w:sz w:val="16"/>
                <w:szCs w:val="16"/>
                <w:b w:val="1"/>
                <w:bCs w:val="1"/>
                <w:color w:val="auto"/>
              </w:rPr>
              <w:t>Stock</w:t>
            </w:r>
          </w:p>
        </w:tc>
        <w:tc>
          <w:tcPr>
            <w:tcW w:w="1780" w:type="dxa"/>
            <w:vAlign w:val="bottom"/>
            <w:shd w:val="clear" w:color="auto" w:fill="FFE933"/>
          </w:tcPr>
          <w:p>
            <w:pPr>
              <w:jc w:val="right"/>
              <w:ind w:right="119"/>
              <w:spacing w:after="0" w:line="230" w:lineRule="exact"/>
              <w:rPr>
                <w:sz w:val="20"/>
                <w:szCs w:val="20"/>
                <w:color w:val="auto"/>
              </w:rPr>
            </w:pPr>
            <w:r>
              <w:rPr>
                <w:rFonts w:ascii="Arial" w:cs="Arial" w:eastAsia="Arial" w:hAnsi="Arial"/>
                <w:sz w:val="16"/>
                <w:szCs w:val="16"/>
                <w:b w:val="1"/>
                <w:bCs w:val="1"/>
                <w:color w:val="auto"/>
              </w:rPr>
              <w:t>Options/SARs</w:t>
            </w:r>
            <w:r>
              <w:rPr>
                <w:rFonts w:ascii="Arial" w:cs="Arial" w:eastAsia="Arial" w:hAnsi="Arial"/>
                <w:sz w:val="26"/>
                <w:szCs w:val="26"/>
                <w:b w:val="1"/>
                <w:bCs w:val="1"/>
                <w:color w:val="auto"/>
                <w:vertAlign w:val="superscript"/>
              </w:rPr>
              <w:t>(1)</w:t>
            </w:r>
          </w:p>
        </w:tc>
        <w:tc>
          <w:tcPr>
            <w:tcW w:w="1220" w:type="dxa"/>
            <w:vAlign w:val="bottom"/>
            <w:shd w:val="clear" w:color="auto" w:fill="FFE933"/>
          </w:tcPr>
          <w:p>
            <w:pPr>
              <w:jc w:val="right"/>
              <w:ind w:right="101"/>
              <w:spacing w:after="0"/>
              <w:rPr>
                <w:sz w:val="20"/>
                <w:szCs w:val="20"/>
                <w:color w:val="auto"/>
              </w:rPr>
            </w:pPr>
            <w:r>
              <w:rPr>
                <w:rFonts w:ascii="Arial" w:cs="Arial" w:eastAsia="Arial" w:hAnsi="Arial"/>
                <w:sz w:val="16"/>
                <w:szCs w:val="16"/>
                <w:b w:val="1"/>
                <w:bCs w:val="1"/>
                <w:color w:val="auto"/>
              </w:rPr>
              <w:t>Ownership</w:t>
            </w:r>
          </w:p>
        </w:tc>
        <w:tc>
          <w:tcPr>
            <w:tcW w:w="360" w:type="dxa"/>
            <w:vAlign w:val="bottom"/>
            <w:shd w:val="clear" w:color="auto" w:fill="FFE933"/>
          </w:tcPr>
          <w:p>
            <w:pPr>
              <w:spacing w:after="0"/>
              <w:rPr>
                <w:sz w:val="19"/>
                <w:szCs w:val="19"/>
                <w:color w:val="auto"/>
              </w:rPr>
            </w:pPr>
          </w:p>
        </w:tc>
        <w:tc>
          <w:tcPr>
            <w:tcW w:w="1280" w:type="dxa"/>
            <w:vAlign w:val="bottom"/>
            <w:shd w:val="clear" w:color="auto" w:fill="FFE933"/>
          </w:tcPr>
          <w:p>
            <w:pPr>
              <w:jc w:val="right"/>
              <w:ind w:right="39"/>
              <w:spacing w:after="0" w:line="230" w:lineRule="exact"/>
              <w:rPr>
                <w:sz w:val="20"/>
                <w:szCs w:val="20"/>
                <w:color w:val="auto"/>
              </w:rPr>
            </w:pPr>
            <w:r>
              <w:rPr>
                <w:rFonts w:ascii="Arial" w:cs="Arial" w:eastAsia="Arial" w:hAnsi="Arial"/>
                <w:sz w:val="16"/>
                <w:szCs w:val="16"/>
                <w:b w:val="1"/>
                <w:bCs w:val="1"/>
                <w:color w:val="auto"/>
              </w:rPr>
              <w:t>Units Held</w:t>
            </w:r>
            <w:r>
              <w:rPr>
                <w:rFonts w:ascii="Arial" w:cs="Arial" w:eastAsia="Arial" w:hAnsi="Arial"/>
                <w:sz w:val="26"/>
                <w:szCs w:val="26"/>
                <w:b w:val="1"/>
                <w:bCs w:val="1"/>
                <w:color w:val="auto"/>
                <w:vertAlign w:val="superscript"/>
              </w:rPr>
              <w:t>(2)</w:t>
            </w:r>
          </w:p>
        </w:tc>
        <w:tc>
          <w:tcPr>
            <w:tcW w:w="1400" w:type="dxa"/>
            <w:vAlign w:val="bottom"/>
            <w:shd w:val="clear" w:color="auto" w:fill="FFE933"/>
          </w:tcPr>
          <w:p>
            <w:pPr>
              <w:jc w:val="right"/>
              <w:ind w:right="99"/>
              <w:spacing w:after="0" w:line="230" w:lineRule="exact"/>
              <w:rPr>
                <w:sz w:val="20"/>
                <w:szCs w:val="20"/>
                <w:color w:val="auto"/>
              </w:rPr>
            </w:pPr>
            <w:r>
              <w:rPr>
                <w:rFonts w:ascii="Arial" w:cs="Arial" w:eastAsia="Arial" w:hAnsi="Arial"/>
                <w:sz w:val="16"/>
                <w:szCs w:val="16"/>
                <w:b w:val="1"/>
                <w:bCs w:val="1"/>
                <w:color w:val="auto"/>
              </w:rPr>
              <w:t>Units Held</w:t>
            </w:r>
            <w:r>
              <w:rPr>
                <w:rFonts w:ascii="Arial" w:cs="Arial" w:eastAsia="Arial" w:hAnsi="Arial"/>
                <w:sz w:val="26"/>
                <w:szCs w:val="26"/>
                <w:b w:val="1"/>
                <w:bCs w:val="1"/>
                <w:color w:val="auto"/>
                <w:vertAlign w:val="superscript"/>
              </w:rPr>
              <w:t>(3)</w:t>
            </w:r>
          </w:p>
        </w:tc>
        <w:tc>
          <w:tcPr>
            <w:tcW w:w="1080" w:type="dxa"/>
            <w:vAlign w:val="bottom"/>
            <w:shd w:val="clear" w:color="auto" w:fill="FFE933"/>
          </w:tcPr>
          <w:p>
            <w:pPr>
              <w:jc w:val="right"/>
              <w:spacing w:after="0"/>
              <w:rPr>
                <w:sz w:val="20"/>
                <w:szCs w:val="20"/>
                <w:color w:val="auto"/>
              </w:rPr>
            </w:pPr>
            <w:r>
              <w:rPr>
                <w:rFonts w:ascii="Arial" w:cs="Arial" w:eastAsia="Arial" w:hAnsi="Arial"/>
                <w:sz w:val="16"/>
                <w:szCs w:val="16"/>
                <w:b w:val="1"/>
                <w:bCs w:val="1"/>
                <w:color w:val="auto"/>
              </w:rPr>
              <w:t>Ownership</w:t>
            </w:r>
          </w:p>
        </w:tc>
      </w:tr>
      <w:tr>
        <w:trPr>
          <w:trHeight w:val="230"/>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EDWARD H. BAINE</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366</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spacing w:after="0" w:line="230" w:lineRule="exact"/>
              <w:rPr>
                <w:sz w:val="20"/>
                <w:szCs w:val="20"/>
                <w:color w:val="auto"/>
              </w:rPr>
            </w:pPr>
            <w:r>
              <w:rPr>
                <w:rFonts w:ascii="Arial" w:cs="Arial" w:eastAsia="Arial" w:hAnsi="Arial"/>
                <w:sz w:val="16"/>
                <w:szCs w:val="16"/>
                <w:color w:val="auto"/>
              </w:rPr>
              <w:t>366</w:t>
            </w:r>
            <w:r>
              <w:rPr>
                <w:rFonts w:ascii="Arial" w:cs="Arial" w:eastAsia="Arial" w:hAnsi="Arial"/>
                <w:sz w:val="26"/>
                <w:szCs w:val="26"/>
                <w:color w:val="auto"/>
                <w:vertAlign w:val="superscript"/>
              </w:rPr>
              <w:t>(5)</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366</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CARLOS M. CARDOSO</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1,727</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1,727</w:t>
            </w:r>
            <w:r>
              <w:rPr>
                <w:rFonts w:ascii="Arial" w:cs="Arial" w:eastAsia="Arial" w:hAnsi="Arial"/>
                <w:sz w:val="25"/>
                <w:szCs w:val="25"/>
                <w:color w:val="auto"/>
                <w:vertAlign w:val="superscript"/>
              </w:rPr>
              <w:t>(4)</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2,406</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7,986</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12,119</w:t>
            </w:r>
          </w:p>
        </w:tc>
      </w:tr>
      <w:tr>
        <w:trPr>
          <w:trHeight w:val="183"/>
        </w:trPr>
        <w:tc>
          <w:tcPr>
            <w:tcW w:w="30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DEBRA L. DIAL</w:t>
            </w:r>
          </w:p>
        </w:tc>
        <w:tc>
          <w:tcPr>
            <w:tcW w:w="112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589</w:t>
            </w:r>
          </w:p>
        </w:tc>
        <w:tc>
          <w:tcPr>
            <w:tcW w:w="1780" w:type="dxa"/>
            <w:vAlign w:val="bottom"/>
            <w:tcBorders>
              <w:bottom w:val="single" w:sz="8" w:color="BCBEC0"/>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01"/>
              <w:spacing w:after="0" w:line="183" w:lineRule="exact"/>
              <w:rPr>
                <w:sz w:val="20"/>
                <w:szCs w:val="20"/>
                <w:color w:val="auto"/>
              </w:rPr>
            </w:pPr>
            <w:r>
              <w:rPr>
                <w:rFonts w:ascii="Arial" w:cs="Arial" w:eastAsia="Arial" w:hAnsi="Arial"/>
                <w:sz w:val="16"/>
                <w:szCs w:val="16"/>
                <w:color w:val="auto"/>
              </w:rPr>
              <w:t>589</w:t>
            </w:r>
          </w:p>
        </w:tc>
        <w:tc>
          <w:tcPr>
            <w:tcW w:w="360" w:type="dxa"/>
            <w:vAlign w:val="bottom"/>
            <w:tcBorders>
              <w:bottom w:val="single" w:sz="8" w:color="BCBEC0"/>
            </w:tcBorders>
          </w:tcPr>
          <w:p>
            <w:pPr>
              <w:spacing w:after="0"/>
              <w:rPr>
                <w:sz w:val="15"/>
                <w:szCs w:val="15"/>
                <w:color w:val="auto"/>
              </w:rPr>
            </w:pPr>
          </w:p>
        </w:tc>
        <w:tc>
          <w:tcPr>
            <w:tcW w:w="12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880</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1,469</w:t>
            </w:r>
          </w:p>
        </w:tc>
      </w:tr>
      <w:tr>
        <w:trPr>
          <w:trHeight w:val="183"/>
        </w:trPr>
        <w:tc>
          <w:tcPr>
            <w:tcW w:w="30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ANTHONY J. GUZZI</w:t>
            </w:r>
          </w:p>
        </w:tc>
        <w:tc>
          <w:tcPr>
            <w:tcW w:w="112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6,490</w:t>
            </w:r>
          </w:p>
        </w:tc>
        <w:tc>
          <w:tcPr>
            <w:tcW w:w="1780" w:type="dxa"/>
            <w:vAlign w:val="bottom"/>
            <w:tcBorders>
              <w:bottom w:val="single" w:sz="8" w:color="BCBEC0"/>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01"/>
              <w:spacing w:after="0" w:line="183" w:lineRule="exact"/>
              <w:rPr>
                <w:sz w:val="20"/>
                <w:szCs w:val="20"/>
                <w:color w:val="auto"/>
              </w:rPr>
            </w:pPr>
            <w:r>
              <w:rPr>
                <w:rFonts w:ascii="Arial" w:cs="Arial" w:eastAsia="Arial" w:hAnsi="Arial"/>
                <w:sz w:val="16"/>
                <w:szCs w:val="16"/>
                <w:color w:val="auto"/>
              </w:rPr>
              <w:t>6,490</w:t>
            </w:r>
          </w:p>
        </w:tc>
        <w:tc>
          <w:tcPr>
            <w:tcW w:w="360" w:type="dxa"/>
            <w:vAlign w:val="bottom"/>
            <w:tcBorders>
              <w:bottom w:val="single" w:sz="8" w:color="BCBEC0"/>
            </w:tcBorders>
          </w:tcPr>
          <w:p>
            <w:pPr>
              <w:spacing w:after="0"/>
              <w:rPr>
                <w:sz w:val="15"/>
                <w:szCs w:val="15"/>
                <w:color w:val="auto"/>
              </w:rPr>
            </w:pPr>
          </w:p>
        </w:tc>
        <w:tc>
          <w:tcPr>
            <w:tcW w:w="12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33,365</w:t>
            </w:r>
          </w:p>
        </w:tc>
        <w:tc>
          <w:tcPr>
            <w:tcW w:w="140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15,212</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55,067</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RHETT A. HERNANDEZ</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2,886</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2,886</w:t>
            </w:r>
            <w:r>
              <w:rPr>
                <w:rFonts w:ascii="Arial" w:cs="Arial" w:eastAsia="Arial" w:hAnsi="Arial"/>
                <w:sz w:val="25"/>
                <w:szCs w:val="25"/>
                <w:color w:val="auto"/>
                <w:vertAlign w:val="superscript"/>
              </w:rPr>
              <w:t>(4)</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2,886</w:t>
            </w:r>
          </w:p>
        </w:tc>
      </w:tr>
      <w:tr>
        <w:trPr>
          <w:trHeight w:val="183"/>
        </w:trPr>
        <w:tc>
          <w:tcPr>
            <w:tcW w:w="30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NEAL J. KEATING</w:t>
            </w:r>
          </w:p>
        </w:tc>
        <w:tc>
          <w:tcPr>
            <w:tcW w:w="112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8,571</w:t>
            </w:r>
          </w:p>
        </w:tc>
        <w:tc>
          <w:tcPr>
            <w:tcW w:w="1780" w:type="dxa"/>
            <w:vAlign w:val="bottom"/>
            <w:tcBorders>
              <w:bottom w:val="single" w:sz="8" w:color="BCBEC0"/>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01"/>
              <w:spacing w:after="0" w:line="183" w:lineRule="exact"/>
              <w:rPr>
                <w:sz w:val="20"/>
                <w:szCs w:val="20"/>
                <w:color w:val="auto"/>
              </w:rPr>
            </w:pPr>
            <w:r>
              <w:rPr>
                <w:rFonts w:ascii="Arial" w:cs="Arial" w:eastAsia="Arial" w:hAnsi="Arial"/>
                <w:sz w:val="16"/>
                <w:szCs w:val="16"/>
                <w:color w:val="auto"/>
              </w:rPr>
              <w:t>8,571</w:t>
            </w:r>
          </w:p>
        </w:tc>
        <w:tc>
          <w:tcPr>
            <w:tcW w:w="360" w:type="dxa"/>
            <w:vAlign w:val="bottom"/>
            <w:tcBorders>
              <w:bottom w:val="single" w:sz="8" w:color="BCBEC0"/>
            </w:tcBorders>
          </w:tcPr>
          <w:p>
            <w:pPr>
              <w:spacing w:after="0"/>
              <w:rPr>
                <w:sz w:val="15"/>
                <w:szCs w:val="15"/>
                <w:color w:val="auto"/>
              </w:rPr>
            </w:pPr>
          </w:p>
        </w:tc>
        <w:tc>
          <w:tcPr>
            <w:tcW w:w="12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7,823</w:t>
            </w:r>
          </w:p>
        </w:tc>
        <w:tc>
          <w:tcPr>
            <w:tcW w:w="140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15,212</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31,606</w:t>
            </w:r>
          </w:p>
        </w:tc>
      </w:tr>
      <w:tr>
        <w:trPr>
          <w:trHeight w:val="183"/>
        </w:trPr>
        <w:tc>
          <w:tcPr>
            <w:tcW w:w="3000" w:type="dxa"/>
            <w:vAlign w:val="bottom"/>
            <w:tcBorders>
              <w:bottom w:val="single" w:sz="8" w:color="BCBEC0"/>
            </w:tcBorders>
          </w:tcPr>
          <w:p>
            <w:pPr>
              <w:ind w:left="60"/>
              <w:spacing w:after="0" w:line="183" w:lineRule="exact"/>
              <w:rPr>
                <w:sz w:val="20"/>
                <w:szCs w:val="20"/>
                <w:color w:val="auto"/>
              </w:rPr>
            </w:pPr>
            <w:r>
              <w:rPr>
                <w:rFonts w:ascii="Arial" w:cs="Arial" w:eastAsia="Arial" w:hAnsi="Arial"/>
                <w:sz w:val="16"/>
                <w:szCs w:val="16"/>
                <w:b w:val="1"/>
                <w:bCs w:val="1"/>
                <w:color w:val="auto"/>
              </w:rPr>
              <w:t>BONNIE C. LIND</w:t>
            </w:r>
          </w:p>
        </w:tc>
        <w:tc>
          <w:tcPr>
            <w:tcW w:w="112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600</w:t>
            </w:r>
          </w:p>
        </w:tc>
        <w:tc>
          <w:tcPr>
            <w:tcW w:w="1780" w:type="dxa"/>
            <w:vAlign w:val="bottom"/>
            <w:tcBorders>
              <w:bottom w:val="single" w:sz="8" w:color="BCBEC0"/>
            </w:tcBorders>
          </w:tcPr>
          <w:p>
            <w:pPr>
              <w:jc w:val="right"/>
              <w:ind w:right="119"/>
              <w:spacing w:after="0" w:line="183"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ind w:right="101"/>
              <w:spacing w:after="0" w:line="183" w:lineRule="exact"/>
              <w:rPr>
                <w:sz w:val="20"/>
                <w:szCs w:val="20"/>
                <w:color w:val="auto"/>
              </w:rPr>
            </w:pPr>
            <w:r>
              <w:rPr>
                <w:rFonts w:ascii="Arial" w:cs="Arial" w:eastAsia="Arial" w:hAnsi="Arial"/>
                <w:sz w:val="16"/>
                <w:szCs w:val="16"/>
                <w:color w:val="auto"/>
              </w:rPr>
              <w:t>600</w:t>
            </w:r>
          </w:p>
        </w:tc>
        <w:tc>
          <w:tcPr>
            <w:tcW w:w="360" w:type="dxa"/>
            <w:vAlign w:val="bottom"/>
            <w:tcBorders>
              <w:bottom w:val="single" w:sz="8" w:color="BCBEC0"/>
            </w:tcBorders>
          </w:tcPr>
          <w:p>
            <w:pPr>
              <w:spacing w:after="0"/>
              <w:rPr>
                <w:sz w:val="15"/>
                <w:szCs w:val="15"/>
                <w:color w:val="auto"/>
              </w:rPr>
            </w:pPr>
          </w:p>
        </w:tc>
        <w:tc>
          <w:tcPr>
            <w:tcW w:w="1280" w:type="dxa"/>
            <w:vAlign w:val="bottom"/>
            <w:tcBorders>
              <w:bottom w:val="single" w:sz="8" w:color="BCBEC0"/>
            </w:tcBorders>
          </w:tcPr>
          <w:p>
            <w:pPr>
              <w:jc w:val="right"/>
              <w:ind w:right="39"/>
              <w:spacing w:after="0" w:line="183" w:lineRule="exact"/>
              <w:rPr>
                <w:sz w:val="20"/>
                <w:szCs w:val="20"/>
                <w:color w:val="auto"/>
              </w:rPr>
            </w:pPr>
            <w:r>
              <w:rPr>
                <w:rFonts w:ascii="Arial" w:cs="Arial" w:eastAsia="Arial" w:hAnsi="Arial"/>
                <w:sz w:val="16"/>
                <w:szCs w:val="16"/>
                <w:color w:val="auto"/>
              </w:rPr>
              <w:t>2,811</w:t>
            </w:r>
          </w:p>
        </w:tc>
        <w:tc>
          <w:tcPr>
            <w:tcW w:w="1400" w:type="dxa"/>
            <w:vAlign w:val="bottom"/>
            <w:tcBorders>
              <w:bottom w:val="single" w:sz="8" w:color="BCBEC0"/>
            </w:tcBorders>
          </w:tcPr>
          <w:p>
            <w:pPr>
              <w:jc w:val="right"/>
              <w:ind w:right="99"/>
              <w:spacing w:after="0" w:line="183" w:lineRule="exact"/>
              <w:rPr>
                <w:sz w:val="20"/>
                <w:szCs w:val="20"/>
                <w:color w:val="auto"/>
              </w:rPr>
            </w:pPr>
            <w:r>
              <w:rPr>
                <w:rFonts w:ascii="Arial" w:cs="Arial" w:eastAsia="Arial" w:hAnsi="Arial"/>
                <w:sz w:val="16"/>
                <w:szCs w:val="16"/>
                <w:color w:val="auto"/>
              </w:rPr>
              <w:t>5,365</w:t>
            </w:r>
          </w:p>
        </w:tc>
        <w:tc>
          <w:tcPr>
            <w:tcW w:w="1080" w:type="dxa"/>
            <w:vAlign w:val="bottom"/>
            <w:tcBorders>
              <w:bottom w:val="single" w:sz="8" w:color="BCBEC0"/>
            </w:tcBorders>
          </w:tcPr>
          <w:p>
            <w:pPr>
              <w:jc w:val="right"/>
              <w:spacing w:after="0" w:line="183" w:lineRule="exact"/>
              <w:rPr>
                <w:sz w:val="20"/>
                <w:szCs w:val="20"/>
                <w:color w:val="auto"/>
              </w:rPr>
            </w:pPr>
            <w:r>
              <w:rPr>
                <w:rFonts w:ascii="Arial" w:cs="Arial" w:eastAsia="Arial" w:hAnsi="Arial"/>
                <w:sz w:val="16"/>
                <w:szCs w:val="16"/>
                <w:color w:val="auto"/>
              </w:rPr>
              <w:t>8,776</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JOHN F. MALLOY</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19,085</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19,085</w:t>
            </w:r>
            <w:r>
              <w:rPr>
                <w:rFonts w:ascii="Arial" w:cs="Arial" w:eastAsia="Arial" w:hAnsi="Arial"/>
                <w:sz w:val="25"/>
                <w:szCs w:val="25"/>
                <w:color w:val="auto"/>
                <w:vertAlign w:val="superscript"/>
              </w:rPr>
              <w:t>(4)</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1,812</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1,861</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22,758</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JENNIFER M. POLLINO</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2,886</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2,886</w:t>
            </w:r>
            <w:r>
              <w:rPr>
                <w:rFonts w:ascii="Arial" w:cs="Arial" w:eastAsia="Arial" w:hAnsi="Arial"/>
                <w:sz w:val="25"/>
                <w:szCs w:val="25"/>
                <w:color w:val="auto"/>
                <w:vertAlign w:val="superscript"/>
              </w:rPr>
              <w:t>(4)</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2,886</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GARRICK J. ROCHOW</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814</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814</w:t>
            </w:r>
            <w:r>
              <w:rPr>
                <w:rFonts w:ascii="Arial" w:cs="Arial" w:eastAsia="Arial" w:hAnsi="Arial"/>
                <w:sz w:val="25"/>
                <w:szCs w:val="25"/>
                <w:color w:val="auto"/>
                <w:vertAlign w:val="superscript"/>
              </w:rPr>
              <w:t>(4)</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814</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GERBEN W. BAKKER</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63,167</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50,025</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113,192</w:t>
            </w:r>
            <w:r>
              <w:rPr>
                <w:rFonts w:ascii="Arial" w:cs="Arial" w:eastAsia="Arial" w:hAnsi="Arial"/>
                <w:sz w:val="25"/>
                <w:szCs w:val="25"/>
                <w:color w:val="auto"/>
                <w:vertAlign w:val="superscript"/>
              </w:rPr>
              <w:t>(6)</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113,192</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WILLIAM R. SPERRY</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22,579</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9,779</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32,358</w:t>
            </w:r>
            <w:r>
              <w:rPr>
                <w:rFonts w:ascii="Arial" w:cs="Arial" w:eastAsia="Arial" w:hAnsi="Arial"/>
                <w:sz w:val="25"/>
                <w:szCs w:val="25"/>
                <w:color w:val="auto"/>
                <w:vertAlign w:val="superscript"/>
              </w:rPr>
              <w:t>(6)</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32,358</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MARK E. MIKES</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373</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7,623</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7,996</w:t>
            </w:r>
            <w:r>
              <w:rPr>
                <w:rFonts w:ascii="Arial" w:cs="Arial" w:eastAsia="Arial" w:hAnsi="Arial"/>
                <w:sz w:val="25"/>
                <w:szCs w:val="25"/>
                <w:color w:val="auto"/>
                <w:vertAlign w:val="superscript"/>
              </w:rPr>
              <w:t>(6)</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7,996</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GREGORY A. GUMBS</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6,163</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6,163</w:t>
            </w:r>
            <w:r>
              <w:rPr>
                <w:rFonts w:ascii="Arial" w:cs="Arial" w:eastAsia="Arial" w:hAnsi="Arial"/>
                <w:sz w:val="25"/>
                <w:szCs w:val="25"/>
                <w:color w:val="auto"/>
                <w:vertAlign w:val="superscript"/>
              </w:rPr>
              <w:t>(6)</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6,163</w:t>
            </w:r>
          </w:p>
        </w:tc>
      </w:tr>
      <w:tr>
        <w:trPr>
          <w:trHeight w:val="22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KATHERINE A. LANE</w:t>
            </w:r>
          </w:p>
        </w:tc>
        <w:tc>
          <w:tcPr>
            <w:tcW w:w="112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14,723</w:t>
            </w:r>
          </w:p>
        </w:tc>
        <w:tc>
          <w:tcPr>
            <w:tcW w:w="1780" w:type="dxa"/>
            <w:vAlign w:val="bottom"/>
            <w:tcBorders>
              <w:bottom w:val="single" w:sz="8" w:color="BCBEC0"/>
            </w:tcBorders>
          </w:tcPr>
          <w:p>
            <w:pPr>
              <w:jc w:val="right"/>
              <w:ind w:right="119"/>
              <w:spacing w:after="0"/>
              <w:rPr>
                <w:sz w:val="20"/>
                <w:szCs w:val="20"/>
                <w:color w:val="auto"/>
              </w:rPr>
            </w:pPr>
            <w:r>
              <w:rPr>
                <w:rFonts w:ascii="Arial" w:cs="Arial" w:eastAsia="Arial" w:hAnsi="Arial"/>
                <w:sz w:val="16"/>
                <w:szCs w:val="16"/>
                <w:color w:val="auto"/>
              </w:rPr>
              <w:t>26,518</w:t>
            </w:r>
          </w:p>
        </w:tc>
        <w:tc>
          <w:tcPr>
            <w:tcW w:w="1220" w:type="dxa"/>
            <w:vAlign w:val="bottom"/>
            <w:tcBorders>
              <w:bottom w:val="single" w:sz="8" w:color="BCBEC0"/>
            </w:tcBorders>
          </w:tcPr>
          <w:p>
            <w:pPr>
              <w:jc w:val="right"/>
              <w:spacing w:after="0" w:line="223" w:lineRule="exact"/>
              <w:rPr>
                <w:sz w:val="20"/>
                <w:szCs w:val="20"/>
                <w:color w:val="auto"/>
              </w:rPr>
            </w:pPr>
            <w:r>
              <w:rPr>
                <w:rFonts w:ascii="Arial" w:cs="Arial" w:eastAsia="Arial" w:hAnsi="Arial"/>
                <w:sz w:val="16"/>
                <w:szCs w:val="16"/>
                <w:color w:val="auto"/>
              </w:rPr>
              <w:t>41,241</w:t>
            </w:r>
            <w:r>
              <w:rPr>
                <w:rFonts w:ascii="Arial" w:cs="Arial" w:eastAsia="Arial" w:hAnsi="Arial"/>
                <w:sz w:val="25"/>
                <w:szCs w:val="25"/>
                <w:color w:val="auto"/>
                <w:vertAlign w:val="superscript"/>
              </w:rPr>
              <w:t>(6)</w:t>
            </w:r>
          </w:p>
        </w:tc>
        <w:tc>
          <w:tcPr>
            <w:tcW w:w="360" w:type="dxa"/>
            <w:vAlign w:val="bottom"/>
            <w:tcBorders>
              <w:bottom w:val="single" w:sz="8" w:color="BCBEC0"/>
            </w:tcBorders>
          </w:tcPr>
          <w:p>
            <w:pPr>
              <w:spacing w:after="0"/>
              <w:rPr>
                <w:sz w:val="19"/>
                <w:szCs w:val="19"/>
                <w:color w:val="auto"/>
              </w:rPr>
            </w:pPr>
          </w:p>
        </w:tc>
        <w:tc>
          <w:tcPr>
            <w:tcW w:w="1280" w:type="dxa"/>
            <w:vAlign w:val="bottom"/>
            <w:tcBorders>
              <w:bottom w:val="single" w:sz="8" w:color="BCBEC0"/>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BCBEC0"/>
            </w:tcBorders>
          </w:tcPr>
          <w:p>
            <w:pPr>
              <w:jc w:val="right"/>
              <w:ind w:right="9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BCBEC0"/>
            </w:tcBorders>
          </w:tcPr>
          <w:p>
            <w:pPr>
              <w:jc w:val="right"/>
              <w:spacing w:after="0"/>
              <w:rPr>
                <w:sz w:val="20"/>
                <w:szCs w:val="20"/>
                <w:color w:val="auto"/>
              </w:rPr>
            </w:pPr>
            <w:r>
              <w:rPr>
                <w:rFonts w:ascii="Arial" w:cs="Arial" w:eastAsia="Arial" w:hAnsi="Arial"/>
                <w:sz w:val="16"/>
                <w:szCs w:val="16"/>
                <w:color w:val="auto"/>
              </w:rPr>
              <w:t>41,241</w:t>
            </w:r>
          </w:p>
        </w:tc>
      </w:tr>
      <w:tr>
        <w:trPr>
          <w:trHeight w:val="168"/>
        </w:trPr>
        <w:tc>
          <w:tcPr>
            <w:tcW w:w="3000" w:type="dxa"/>
            <w:vAlign w:val="bottom"/>
          </w:tcPr>
          <w:p>
            <w:pPr>
              <w:ind w:left="60"/>
              <w:spacing w:after="0" w:line="168" w:lineRule="exact"/>
              <w:rPr>
                <w:sz w:val="20"/>
                <w:szCs w:val="20"/>
                <w:color w:val="auto"/>
              </w:rPr>
            </w:pPr>
            <w:r>
              <w:rPr>
                <w:rFonts w:ascii="Arial" w:cs="Arial" w:eastAsia="Arial" w:hAnsi="Arial"/>
                <w:sz w:val="16"/>
                <w:szCs w:val="16"/>
                <w:b w:val="1"/>
                <w:bCs w:val="1"/>
                <w:color w:val="auto"/>
              </w:rPr>
              <w:t>All Directors and current executive</w:t>
            </w:r>
          </w:p>
        </w:tc>
        <w:tc>
          <w:tcPr>
            <w:tcW w:w="1120" w:type="dxa"/>
            <w:vAlign w:val="bottom"/>
          </w:tcPr>
          <w:p>
            <w:pPr>
              <w:jc w:val="right"/>
              <w:ind w:right="39"/>
              <w:spacing w:after="0" w:line="168" w:lineRule="exact"/>
              <w:rPr>
                <w:sz w:val="20"/>
                <w:szCs w:val="20"/>
                <w:color w:val="auto"/>
              </w:rPr>
            </w:pPr>
            <w:r>
              <w:rPr>
                <w:rFonts w:ascii="Arial" w:cs="Arial" w:eastAsia="Arial" w:hAnsi="Arial"/>
                <w:sz w:val="16"/>
                <w:szCs w:val="16"/>
                <w:color w:val="auto"/>
              </w:rPr>
              <w:t>222,298</w:t>
            </w:r>
          </w:p>
        </w:tc>
        <w:tc>
          <w:tcPr>
            <w:tcW w:w="1780" w:type="dxa"/>
            <w:vAlign w:val="bottom"/>
          </w:tcPr>
          <w:p>
            <w:pPr>
              <w:jc w:val="right"/>
              <w:ind w:right="119"/>
              <w:spacing w:after="0" w:line="168" w:lineRule="exact"/>
              <w:rPr>
                <w:sz w:val="20"/>
                <w:szCs w:val="20"/>
                <w:color w:val="auto"/>
              </w:rPr>
            </w:pPr>
            <w:r>
              <w:rPr>
                <w:rFonts w:ascii="Arial" w:cs="Arial" w:eastAsia="Arial" w:hAnsi="Arial"/>
                <w:sz w:val="16"/>
                <w:szCs w:val="16"/>
                <w:color w:val="auto"/>
              </w:rPr>
              <w:t>112,166</w:t>
            </w:r>
          </w:p>
        </w:tc>
        <w:tc>
          <w:tcPr>
            <w:tcW w:w="1220" w:type="dxa"/>
            <w:vAlign w:val="bottom"/>
          </w:tcPr>
          <w:p>
            <w:pPr>
              <w:jc w:val="right"/>
              <w:spacing w:after="0" w:line="168" w:lineRule="exact"/>
              <w:rPr>
                <w:sz w:val="20"/>
                <w:szCs w:val="20"/>
                <w:color w:val="auto"/>
              </w:rPr>
            </w:pPr>
            <w:r>
              <w:rPr>
                <w:rFonts w:ascii="Arial" w:cs="Arial" w:eastAsia="Arial" w:hAnsi="Arial"/>
                <w:sz w:val="13"/>
                <w:szCs w:val="13"/>
                <w:color w:val="auto"/>
              </w:rPr>
              <w:t>334,464</w:t>
            </w:r>
            <w:r>
              <w:rPr>
                <w:rFonts w:ascii="Arial" w:cs="Arial" w:eastAsia="Arial" w:hAnsi="Arial"/>
                <w:sz w:val="19"/>
                <w:szCs w:val="19"/>
                <w:color w:val="auto"/>
                <w:vertAlign w:val="superscript"/>
              </w:rPr>
              <w:t>(6)</w:t>
            </w:r>
          </w:p>
        </w:tc>
        <w:tc>
          <w:tcPr>
            <w:tcW w:w="360" w:type="dxa"/>
            <w:vAlign w:val="bottom"/>
          </w:tcPr>
          <w:p>
            <w:pPr>
              <w:jc w:val="right"/>
              <w:ind w:right="113"/>
              <w:spacing w:after="0"/>
              <w:rPr>
                <w:sz w:val="20"/>
                <w:szCs w:val="20"/>
                <w:color w:val="auto"/>
              </w:rPr>
            </w:pPr>
            <w:r>
              <w:rPr>
                <w:rFonts w:ascii="Arial" w:cs="Arial" w:eastAsia="Arial" w:hAnsi="Arial"/>
                <w:sz w:val="13"/>
                <w:szCs w:val="13"/>
                <w:color w:val="auto"/>
              </w:rPr>
              <w:t>(7)</w:t>
            </w:r>
          </w:p>
        </w:tc>
        <w:tc>
          <w:tcPr>
            <w:tcW w:w="1280" w:type="dxa"/>
            <w:vAlign w:val="bottom"/>
          </w:tcPr>
          <w:p>
            <w:pPr>
              <w:jc w:val="right"/>
              <w:ind w:right="39"/>
              <w:spacing w:after="0" w:line="168" w:lineRule="exact"/>
              <w:rPr>
                <w:sz w:val="20"/>
                <w:szCs w:val="20"/>
                <w:color w:val="auto"/>
              </w:rPr>
            </w:pPr>
            <w:r>
              <w:rPr>
                <w:rFonts w:ascii="Arial" w:cs="Arial" w:eastAsia="Arial" w:hAnsi="Arial"/>
                <w:sz w:val="16"/>
                <w:szCs w:val="16"/>
                <w:color w:val="auto"/>
              </w:rPr>
              <w:t>—</w:t>
            </w:r>
          </w:p>
        </w:tc>
        <w:tc>
          <w:tcPr>
            <w:tcW w:w="1400" w:type="dxa"/>
            <w:vAlign w:val="bottom"/>
          </w:tcPr>
          <w:p>
            <w:pPr>
              <w:jc w:val="right"/>
              <w:ind w:right="99"/>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spacing w:after="0" w:line="168" w:lineRule="exact"/>
              <w:rPr>
                <w:sz w:val="20"/>
                <w:szCs w:val="20"/>
                <w:color w:val="auto"/>
              </w:rPr>
            </w:pPr>
            <w:r>
              <w:rPr>
                <w:rFonts w:ascii="Arial" w:cs="Arial" w:eastAsia="Arial" w:hAnsi="Arial"/>
                <w:sz w:val="16"/>
                <w:szCs w:val="16"/>
                <w:color w:val="auto"/>
              </w:rPr>
              <w:t>334,464</w:t>
            </w:r>
          </w:p>
        </w:tc>
      </w:tr>
      <w:tr>
        <w:trPr>
          <w:trHeight w:val="203"/>
        </w:trPr>
        <w:tc>
          <w:tcPr>
            <w:tcW w:w="3000" w:type="dxa"/>
            <w:vAlign w:val="bottom"/>
            <w:tcBorders>
              <w:bottom w:val="single" w:sz="8" w:color="BCBEC0"/>
            </w:tcBorders>
          </w:tcPr>
          <w:p>
            <w:pPr>
              <w:ind w:left="60"/>
              <w:spacing w:after="0"/>
              <w:rPr>
                <w:sz w:val="20"/>
                <w:szCs w:val="20"/>
                <w:color w:val="auto"/>
              </w:rPr>
            </w:pPr>
            <w:r>
              <w:rPr>
                <w:rFonts w:ascii="Arial" w:cs="Arial" w:eastAsia="Arial" w:hAnsi="Arial"/>
                <w:sz w:val="16"/>
                <w:szCs w:val="16"/>
                <w:b w:val="1"/>
                <w:bCs w:val="1"/>
                <w:color w:val="auto"/>
              </w:rPr>
              <w:t>officers as a group (17 persons)</w:t>
            </w:r>
          </w:p>
        </w:tc>
        <w:tc>
          <w:tcPr>
            <w:tcW w:w="1120" w:type="dxa"/>
            <w:vAlign w:val="bottom"/>
            <w:tcBorders>
              <w:bottom w:val="single" w:sz="8" w:color="BCBEC0"/>
            </w:tcBorders>
          </w:tcPr>
          <w:p>
            <w:pPr>
              <w:spacing w:after="0"/>
              <w:rPr>
                <w:sz w:val="17"/>
                <w:szCs w:val="17"/>
                <w:color w:val="auto"/>
              </w:rPr>
            </w:pPr>
          </w:p>
        </w:tc>
        <w:tc>
          <w:tcPr>
            <w:tcW w:w="1780" w:type="dxa"/>
            <w:vAlign w:val="bottom"/>
            <w:tcBorders>
              <w:bottom w:val="single" w:sz="8" w:color="BCBEC0"/>
            </w:tcBorders>
          </w:tcPr>
          <w:p>
            <w:pPr>
              <w:spacing w:after="0"/>
              <w:rPr>
                <w:sz w:val="17"/>
                <w:szCs w:val="17"/>
                <w:color w:val="auto"/>
              </w:rPr>
            </w:pPr>
          </w:p>
        </w:tc>
        <w:tc>
          <w:tcPr>
            <w:tcW w:w="1220" w:type="dxa"/>
            <w:vAlign w:val="bottom"/>
            <w:tcBorders>
              <w:bottom w:val="single" w:sz="8" w:color="BCBEC0"/>
            </w:tcBorders>
          </w:tcPr>
          <w:p>
            <w:pPr>
              <w:spacing w:after="0"/>
              <w:rPr>
                <w:sz w:val="17"/>
                <w:szCs w:val="17"/>
                <w:color w:val="auto"/>
              </w:rPr>
            </w:pPr>
          </w:p>
        </w:tc>
        <w:tc>
          <w:tcPr>
            <w:tcW w:w="360" w:type="dxa"/>
            <w:vAlign w:val="bottom"/>
            <w:tcBorders>
              <w:bottom w:val="single" w:sz="8" w:color="BCBEC0"/>
            </w:tcBorders>
          </w:tcPr>
          <w:p>
            <w:pPr>
              <w:spacing w:after="0"/>
              <w:rPr>
                <w:sz w:val="17"/>
                <w:szCs w:val="17"/>
                <w:color w:val="auto"/>
              </w:rPr>
            </w:pPr>
          </w:p>
        </w:tc>
        <w:tc>
          <w:tcPr>
            <w:tcW w:w="1280" w:type="dxa"/>
            <w:vAlign w:val="bottom"/>
            <w:tcBorders>
              <w:bottom w:val="single" w:sz="8" w:color="BCBEC0"/>
            </w:tcBorders>
          </w:tcPr>
          <w:p>
            <w:pPr>
              <w:spacing w:after="0"/>
              <w:rPr>
                <w:sz w:val="17"/>
                <w:szCs w:val="17"/>
                <w:color w:val="auto"/>
              </w:rPr>
            </w:pPr>
          </w:p>
        </w:tc>
        <w:tc>
          <w:tcPr>
            <w:tcW w:w="1400" w:type="dxa"/>
            <w:vAlign w:val="bottom"/>
            <w:tcBorders>
              <w:bottom w:val="single" w:sz="8" w:color="BCBEC0"/>
            </w:tcBorders>
          </w:tcPr>
          <w:p>
            <w:pPr>
              <w:spacing w:after="0"/>
              <w:rPr>
                <w:sz w:val="17"/>
                <w:szCs w:val="17"/>
                <w:color w:val="auto"/>
              </w:rPr>
            </w:pPr>
          </w:p>
        </w:tc>
        <w:tc>
          <w:tcPr>
            <w:tcW w:w="1080" w:type="dxa"/>
            <w:vAlign w:val="bottom"/>
            <w:tcBorders>
              <w:bottom w:val="single" w:sz="8" w:color="BCBEC0"/>
            </w:tcBorders>
          </w:tcPr>
          <w:p>
            <w:pPr>
              <w:spacing w:after="0"/>
              <w:rPr>
                <w:sz w:val="17"/>
                <w:szCs w:val="17"/>
                <w:color w:val="auto"/>
              </w:rPr>
            </w:pPr>
          </w:p>
        </w:tc>
      </w:tr>
    </w:tbl>
    <w:p>
      <w:pPr>
        <w:spacing w:after="0" w:line="47" w:lineRule="exact"/>
        <w:rPr>
          <w:sz w:val="20"/>
          <w:szCs w:val="20"/>
          <w:color w:val="auto"/>
        </w:rPr>
      </w:pPr>
    </w:p>
    <w:p>
      <w:pPr>
        <w:ind w:left="340" w:right="80" w:hanging="332"/>
        <w:spacing w:after="0" w:line="192" w:lineRule="auto"/>
        <w:tabs>
          <w:tab w:leader="none" w:pos="340" w:val="left"/>
        </w:tabs>
        <w:numPr>
          <w:ilvl w:val="0"/>
          <w:numId w:val="89"/>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Represents shares of Hubbell common stock obtainable upon the exercise of stock appreciation rights under the Equity Plan. See the “Outstanding Equity Awards at 2025 Fiscal Year-End” section on pages 62-63.</w:t>
      </w:r>
    </w:p>
    <w:p>
      <w:pPr>
        <w:spacing w:after="0" w:line="28"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89"/>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Represents stock units, each of which represents one share of Hubbell common stock, held under the Company’s Deferred Plan for Directors, as of March 6, 2026. See the section “Deferred Compensation Plan” on page 33.</w:t>
      </w:r>
    </w:p>
    <w:p>
      <w:pPr>
        <w:spacing w:after="0" w:line="157"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color w:val="FFF51F"/>
        </w:rPr>
        <w:t>I</w:t>
      </w:r>
      <w:r>
        <w:rPr>
          <w:sz w:val="20"/>
          <w:szCs w:val="20"/>
          <w:color w:val="auto"/>
        </w:rPr>
        <w:tab/>
      </w:r>
      <w:r>
        <w:rPr>
          <w:rFonts w:ascii="Arial" w:cs="Arial" w:eastAsia="Arial" w:hAnsi="Arial"/>
          <w:sz w:val="16"/>
          <w:szCs w:val="16"/>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79" w:lineRule="exact"/>
        <w:rPr>
          <w:sz w:val="20"/>
          <w:szCs w:val="20"/>
          <w:color w:val="auto"/>
        </w:rPr>
      </w:pPr>
    </w:p>
    <w:p>
      <w:pPr>
        <w:ind w:left="340" w:hanging="332"/>
        <w:spacing w:after="0" w:line="192" w:lineRule="auto"/>
        <w:tabs>
          <w:tab w:leader="none" w:pos="340" w:val="left"/>
        </w:tabs>
        <w:numPr>
          <w:ilvl w:val="0"/>
          <w:numId w:val="9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Represents vested and unvested restricted stock units (“RSUs”), each of which represents the right to receive one share of Hubbell common stock, held under the Company’s Deferred Plan for Directors, as of March 6, 2026. See the “Deferred Compensation Plan” section on page 33.</w:t>
      </w:r>
    </w:p>
    <w:p>
      <w:pPr>
        <w:spacing w:after="0" w:line="28" w:lineRule="exact"/>
        <w:rPr>
          <w:rFonts w:ascii="Arial" w:cs="Arial" w:eastAsia="Arial" w:hAnsi="Arial"/>
          <w:sz w:val="24"/>
          <w:szCs w:val="24"/>
          <w:i w:val="1"/>
          <w:iCs w:val="1"/>
          <w:color w:val="auto"/>
          <w:vertAlign w:val="superscript"/>
        </w:rPr>
      </w:pPr>
    </w:p>
    <w:p>
      <w:pPr>
        <w:ind w:left="340" w:right="20" w:hanging="332"/>
        <w:spacing w:after="0" w:line="192" w:lineRule="auto"/>
        <w:tabs>
          <w:tab w:leader="none" w:pos="340" w:val="left"/>
        </w:tabs>
        <w:numPr>
          <w:ilvl w:val="0"/>
          <w:numId w:val="9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Includes 457 shares of Hubbell common stock granted as restricted stock under the Equity Plan, on May 6, 2025, which vest on the date of the 2026 Annual Meeting of Shareholders if the Director is still serving (or earlier, upon death or a change in control).</w:t>
      </w:r>
    </w:p>
    <w:p>
      <w:pPr>
        <w:spacing w:after="0" w:line="28" w:lineRule="exact"/>
        <w:rPr>
          <w:rFonts w:ascii="Arial" w:cs="Arial" w:eastAsia="Arial" w:hAnsi="Arial"/>
          <w:sz w:val="24"/>
          <w:szCs w:val="24"/>
          <w:i w:val="1"/>
          <w:iCs w:val="1"/>
          <w:color w:val="auto"/>
          <w:vertAlign w:val="superscript"/>
        </w:rPr>
      </w:pPr>
    </w:p>
    <w:p>
      <w:pPr>
        <w:ind w:left="340" w:right="20" w:hanging="332"/>
        <w:spacing w:after="0" w:line="192" w:lineRule="auto"/>
        <w:tabs>
          <w:tab w:leader="none" w:pos="340" w:val="left"/>
        </w:tabs>
        <w:numPr>
          <w:ilvl w:val="0"/>
          <w:numId w:val="9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Includes 366 shares of Hubbell common stock granted as restricted stock under the Equity Plan, on August 29, 2025, which vest on the date of the 2026 Annual Meeting of Shareholders if the Director is still serving (or earlier, upon death or a change in control).</w:t>
      </w:r>
    </w:p>
    <w:p>
      <w:pPr>
        <w:spacing w:after="0" w:line="28" w:lineRule="exact"/>
        <w:rPr>
          <w:rFonts w:ascii="Arial" w:cs="Arial" w:eastAsia="Arial" w:hAnsi="Arial"/>
          <w:sz w:val="24"/>
          <w:szCs w:val="24"/>
          <w:i w:val="1"/>
          <w:iCs w:val="1"/>
          <w:color w:val="auto"/>
          <w:vertAlign w:val="superscript"/>
        </w:rPr>
      </w:pPr>
    </w:p>
    <w:p>
      <w:pPr>
        <w:jc w:val="both"/>
        <w:ind w:left="340" w:hanging="332"/>
        <w:spacing w:after="0" w:line="205" w:lineRule="auto"/>
        <w:tabs>
          <w:tab w:leader="none" w:pos="340" w:val="left"/>
        </w:tabs>
        <w:numPr>
          <w:ilvl w:val="0"/>
          <w:numId w:val="9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Does not include the following shares of Hubbell common stock granted as restricted stock under the Equity Plan, which will vest at the end of a three-year performance period subject to achievement with respect to certain performance goals. Mr. Bakker – 12,812, Mr. Sperry – 3,962, Mr. Mikes – 2,847, Mr. Gumbs – 3,367, and Ms. Lane – 2,059; and all executive officers as a group – 27,208 shares. See the “Outstanding Equity Awards at 2025 Fiscal Year-End” section on pages 62-63.</w:t>
      </w:r>
    </w:p>
    <w:p>
      <w:pPr>
        <w:spacing w:after="0" w:line="29" w:lineRule="exact"/>
        <w:rPr>
          <w:rFonts w:ascii="Arial" w:cs="Arial" w:eastAsia="Arial" w:hAnsi="Arial"/>
          <w:sz w:val="24"/>
          <w:szCs w:val="24"/>
          <w:i w:val="1"/>
          <w:iCs w:val="1"/>
          <w:color w:val="auto"/>
          <w:vertAlign w:val="superscript"/>
        </w:rPr>
      </w:pPr>
    </w:p>
    <w:p>
      <w:pPr>
        <w:ind w:left="340" w:hanging="332"/>
        <w:spacing w:after="0" w:line="192" w:lineRule="auto"/>
        <w:tabs>
          <w:tab w:leader="none" w:pos="340" w:val="left"/>
        </w:tabs>
        <w:numPr>
          <w:ilvl w:val="0"/>
          <w:numId w:val="90"/>
        </w:numPr>
        <w:rPr>
          <w:rFonts w:ascii="Arial" w:cs="Arial" w:eastAsia="Arial" w:hAnsi="Arial"/>
          <w:sz w:val="24"/>
          <w:szCs w:val="24"/>
          <w:i w:val="1"/>
          <w:iCs w:val="1"/>
          <w:color w:val="auto"/>
          <w:vertAlign w:val="superscript"/>
        </w:rPr>
      </w:pPr>
      <w:r>
        <w:rPr>
          <w:rFonts w:ascii="Arial" w:cs="Arial" w:eastAsia="Arial" w:hAnsi="Arial"/>
          <w:sz w:val="14"/>
          <w:szCs w:val="14"/>
          <w:i w:val="1"/>
          <w:iCs w:val="1"/>
          <w:color w:val="auto"/>
        </w:rPr>
        <w:t>Includes 75,000 shares of Hubbell common stock held by The Hubbell Foundation, of which two corporate officers and two senior employees of the Company are co-trustees and have shared voting and investment power.</w:t>
      </w:r>
    </w:p>
    <w:p>
      <w:pPr>
        <w:spacing w:after="0" w:line="25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Delinquent Section 16(a) Reports</w:t>
      </w:r>
    </w:p>
    <w:p>
      <w:pPr>
        <w:spacing w:after="0" w:line="2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Section 16(a) of the Securities Exchange Act of 1934, as amended, requires our Directors, executive officers, and persons who own more than 10% of a registered class of our equity securities, to file with the SEC initial reports of ownership and reports of changes in ownership of common stock and other equity securities of our Company. Officers, Directors and greater than 10% shareholders are required by SEC regulations to furnish us with copies of all Section 16(a) forms they file.</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Based solely on the Company’s review of these reports and executive officer and Director certifications, the Company believes that all Section 16(a) filing requirements applicable to its Directors, executive officers and 10% shareholders were complied with during 2025, except for one late Form 4 report relating to a single transaction by Director John Malloy.</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Compensation Committee Interlocks and Insider Participation</w:t>
      </w:r>
    </w:p>
    <w:p>
      <w:pPr>
        <w:spacing w:after="0" w:line="2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Throughout 2025, no member of the Compensation Committee was an employee, officer, or former officer of the Company, or had any relationship requiring disclosure under Item 407 of Regulation S-K. None of our executive officers served on the board or compensation committee of any entity in 2025 that had an executive officer serving as a member of our Board of Directors or Compensation Committee.</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Review and Approval of Related Person Transactions</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Board of Directors has adopted a written related person transaction policy. The NCGC administers the policy, which applies to all transactions where the amount exceeds $100,000 and in which the Company is or will be a participant on one side and a related person is or will be a participant or has, or will have, a direct or indirect material interest on the other side. A related person includes any person who is or was since the beginning of the last fiscal year a Director, executive officer, nominee for Director, or beneficial owner of more than 5% of Hubbell common stock, or any of such person’s immediate family members. The NCGC will determine, based on the facts and circumstances it deems appropriate, whether such related person transaction should be approved. As required under SEC rules, transactions that are determined to be directly or indirectly material to the Company or a related person are disclosed in the Company’s Proxy Statement. For fiscal year 2025, the Company had no related person transactions that were required to be disclosed under Item 404 of Regulation S-K. See the discussion under “Director Independence” on page 25.</w:t>
      </w:r>
    </w:p>
    <w:p>
      <w:pPr>
        <w:spacing w:after="0" w:line="25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Revocation of Proxy</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You may revoke your proxy at any time before the Annual Meeting by any of the following methods:</w:t>
      </w:r>
    </w:p>
    <w:p>
      <w:pPr>
        <w:spacing w:after="0" w:line="194"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6"/>
          <w:szCs w:val="16"/>
          <w:color w:val="2F8B9E"/>
        </w:rPr>
      </w:pPr>
      <w:r>
        <w:rPr>
          <w:rFonts w:ascii="Arial" w:cs="Arial" w:eastAsia="Arial" w:hAnsi="Arial"/>
          <w:sz w:val="16"/>
          <w:szCs w:val="16"/>
          <w:color w:val="auto"/>
        </w:rPr>
        <w:t>Delivering to the Secretary of the Company written instructions revoking your proxy;</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91"/>
        </w:numPr>
        <w:rPr>
          <w:rFonts w:ascii="Arial" w:cs="Arial" w:eastAsia="Arial" w:hAnsi="Arial"/>
          <w:sz w:val="16"/>
          <w:szCs w:val="16"/>
          <w:color w:val="2F8B9E"/>
        </w:rPr>
      </w:pPr>
      <w:r>
        <w:rPr>
          <w:rFonts w:ascii="Arial" w:cs="Arial" w:eastAsia="Arial" w:hAnsi="Arial"/>
          <w:sz w:val="16"/>
          <w:szCs w:val="16"/>
          <w:color w:val="auto"/>
        </w:rPr>
        <w:t>Delivering an executed proxy bearing a later date than your prior voted proxy; or</w:t>
      </w:r>
    </w:p>
    <w:p>
      <w:pPr>
        <w:spacing w:after="0" w:line="86" w:lineRule="exact"/>
        <w:rPr>
          <w:rFonts w:ascii="Arial" w:cs="Arial" w:eastAsia="Arial" w:hAnsi="Arial"/>
          <w:sz w:val="16"/>
          <w:szCs w:val="16"/>
          <w:color w:val="2F8B9E"/>
        </w:rPr>
      </w:pPr>
    </w:p>
    <w:p>
      <w:pPr>
        <w:ind w:left="180" w:hanging="172"/>
        <w:spacing w:after="0"/>
        <w:tabs>
          <w:tab w:leader="none" w:pos="180" w:val="left"/>
        </w:tabs>
        <w:numPr>
          <w:ilvl w:val="0"/>
          <w:numId w:val="91"/>
        </w:numPr>
        <w:rPr>
          <w:rFonts w:ascii="Arial" w:cs="Arial" w:eastAsia="Arial" w:hAnsi="Arial"/>
          <w:sz w:val="16"/>
          <w:szCs w:val="16"/>
          <w:color w:val="2F8B9E"/>
        </w:rPr>
      </w:pPr>
      <w:r>
        <w:rPr>
          <w:rFonts w:ascii="Arial" w:cs="Arial" w:eastAsia="Arial" w:hAnsi="Arial"/>
          <w:sz w:val="16"/>
          <w:szCs w:val="16"/>
          <w:color w:val="auto"/>
        </w:rPr>
        <w:t>If you voted by Internet or telephone, by recording a different vote on the Internet website or by telephone.</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If you hold your shares in street name, you must follow the instructions of your broker, bank, or other nominee to revoke your voting instructions.</w:t>
      </w:r>
    </w:p>
    <w:p>
      <w:pPr>
        <w:spacing w:after="0" w:line="194"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80</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Shareholder Proposals and Nominations for Director</w:t>
      </w:r>
    </w:p>
    <w:p>
      <w:pPr>
        <w:spacing w:after="0" w:line="2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Proposals and other items of business described below that must be delivered in writing should be directed to Hubbell Incorporated c/o Katherine A. Lane, Executive Vice President, General Counsel and Secretary, 40 Waterview Drive, Shelton, Connecticut 06484.</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Director Nominations Intended for Inclusion in our 2027 Proxy Materials (Proxy Access)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proxy access provision of the Company’s By-Laws permits a shareholder, or a group of up to 20 shareholders, owning 3% or more of the Company’s outstanding common stock continuously for at least three years to nominate and include in the Company’s proxy materials for an annual meeting director candidates constituting up to the greater of two individuals or 20% of the number of members then serving on our Board. The Company’s By-Laws also specify other requirements for the nominating shareholder(s) and the nominee(s). Assuming that our 2027 annual meeting is not advanced by more than 20 days or delayed by more than 70 days from the first anniversary of the date of the 2026 annual meeting, we must receive the notice of a proxy access nomination for the 2027 annual meeting between February 4, 2027, and February 24, 2027, for the nomination to be considered.</w:t>
      </w:r>
    </w:p>
    <w:p>
      <w:pPr>
        <w:spacing w:after="0" w:line="146" w:lineRule="exact"/>
        <w:rPr>
          <w:sz w:val="20"/>
          <w:szCs w:val="20"/>
          <w:color w:val="auto"/>
        </w:rPr>
      </w:pPr>
    </w:p>
    <w:p>
      <w:pPr>
        <w:spacing w:after="0"/>
        <w:rPr>
          <w:sz w:val="20"/>
          <w:szCs w:val="20"/>
          <w:color w:val="auto"/>
        </w:rPr>
      </w:pPr>
      <w:r>
        <w:rPr>
          <w:rFonts w:ascii="Arial" w:cs="Arial" w:eastAsia="Arial" w:hAnsi="Arial"/>
          <w:sz w:val="25"/>
          <w:szCs w:val="25"/>
          <w:color w:val="auto"/>
        </w:rPr>
        <w:t>Proposals Intended for Inclusion in the 2027 Proxy Materials</w:t>
      </w:r>
    </w:p>
    <w:p>
      <w:pPr>
        <w:spacing w:after="0" w:line="20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Shareholder proposals to be considered for inclusion in the Company’s proxy materials related to the 2027 Annual Meeting of Shareholders pursuant to Rule 14a-8 under the Exchange Act, as amended, must be received by the Company in writing no later than November 23, 2026.</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Proposals Not Intended for Inclusion in the 2027 Proxy Materials</w:t>
      </w:r>
    </w:p>
    <w:p>
      <w:pPr>
        <w:spacing w:after="0" w:line="20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The Company’s By-Laws permit shareholders to nominate a Director or submit a proposal to be considered at the 2027 Annual Meeting of Shareholders, subject to specific procedures and requirements. Any such nominations or proposals must be received by the Company in writing between February 4, 2027, and February 24, 2027, in order to be considered. However, if the date of the 2027 Annual Meeting is more than 20 days before or more than 70 days after May 5, 2027, shareholders must submit such nominations or proposals not earlier than the 90th day prior to the meeting and not later than the close of business on the later of the 70th day prior to the meeting or the 10th day following the day on which public announcement of the date of the meeting is first made by us. In addition, with respect to nominations for Directors, if the number of Directors to be elected at the 2027 Annual Meeting is increased and there is no public announcement by us naming all of the nominees for Director or specifying the size of the increased Board at least 80 days prior to May 5, 2027, notice will be considered timely, but only with respect to nominees for any new positions created by such increase, if it is delivered to the Secretary at our principal executive offices in writing not later than the close of business on the 10th day following the day on which public announcement is first made by us.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A shareholder’s notice to nominate a Director or bring any other business before the 2027 Annual Meeting must set forth certain information specified in our By-Laws. For additional information on the time limitations and requirements related to Director nominations or other shareholder proposals, see the Company’s By-Laws at </w:t>
      </w:r>
      <w:r>
        <w:rPr>
          <w:rFonts w:ascii="Arial" w:cs="Arial" w:eastAsia="Arial" w:hAnsi="Arial"/>
          <w:sz w:val="16"/>
          <w:szCs w:val="16"/>
          <w:b w:val="1"/>
          <w:bCs w:val="1"/>
          <w:color w:val="auto"/>
        </w:rPr>
        <w:t>www.hubbell.com</w:t>
      </w:r>
      <w:r>
        <w:rPr>
          <w:rFonts w:ascii="Arial" w:cs="Arial" w:eastAsia="Arial" w:hAnsi="Arial"/>
          <w:sz w:val="16"/>
          <w:szCs w:val="16"/>
          <w:color w:val="auto"/>
        </w:rPr>
        <w:t xml:space="preserve"> in the Corporate Governance section. The reference to our website address does not constitute incorporation by reference of the information contained on the website, and such information is not a part of this Proxy Statement.</w:t>
      </w:r>
    </w:p>
    <w:p>
      <w:pPr>
        <w:spacing w:after="0" w:line="142" w:lineRule="exact"/>
        <w:rPr>
          <w:sz w:val="20"/>
          <w:szCs w:val="20"/>
          <w:color w:val="auto"/>
        </w:rPr>
      </w:pPr>
    </w:p>
    <w:p>
      <w:pPr>
        <w:spacing w:after="0"/>
        <w:rPr>
          <w:sz w:val="20"/>
          <w:szCs w:val="20"/>
          <w:color w:val="auto"/>
        </w:rPr>
      </w:pPr>
      <w:r>
        <w:rPr>
          <w:rFonts w:ascii="Arial" w:cs="Arial" w:eastAsia="Arial" w:hAnsi="Arial"/>
          <w:sz w:val="25"/>
          <w:szCs w:val="25"/>
          <w:color w:val="auto"/>
        </w:rPr>
        <w:t>Universal Proxy</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addition to satisfying the foregoing notice requirements under our By-Laws, to comply with the universal proxy rules under the Exchange Act, shareholders who intend to solicit proxies in support of director nominees other than the Company’s nominees must provide notice that sets forth the information required by Rule 14a-19 under the Exchange Act no later than March 8, 2027.</w:t>
      </w:r>
    </w:p>
    <w:p>
      <w:pPr>
        <w:spacing w:after="0" w:line="144" w:lineRule="exact"/>
        <w:rPr>
          <w:sz w:val="20"/>
          <w:szCs w:val="20"/>
          <w:color w:val="auto"/>
        </w:rPr>
      </w:pPr>
    </w:p>
    <w:p>
      <w:pPr>
        <w:jc w:val="right"/>
        <w:spacing w:after="0"/>
        <w:tabs>
          <w:tab w:leader="none" w:pos="160" w:val="left"/>
        </w:tabs>
        <w:rPr>
          <w:sz w:val="20"/>
          <w:szCs w:val="20"/>
          <w:color w:val="auto"/>
        </w:rPr>
      </w:pPr>
      <w:r>
        <w:rPr>
          <w:rFonts w:ascii="Arial" w:cs="Arial" w:eastAsia="Arial" w:hAnsi="Arial"/>
          <w:sz w:val="16"/>
          <w:szCs w:val="16"/>
          <w:color w:val="auto"/>
        </w:rPr>
        <w:t xml:space="preserve">2026 PROXY STATEMENT </w:t>
      </w:r>
      <w:r>
        <w:rPr>
          <w:rFonts w:ascii="Arial" w:cs="Arial" w:eastAsia="Arial" w:hAnsi="Arial"/>
          <w:sz w:val="16"/>
          <w:szCs w:val="16"/>
          <w:color w:val="FFF51F"/>
        </w:rPr>
        <w:t>I</w:t>
      </w:r>
      <w:r>
        <w:rPr>
          <w:sz w:val="20"/>
          <w:szCs w:val="20"/>
          <w:color w:val="auto"/>
        </w:rPr>
        <w:tab/>
      </w:r>
      <w:r>
        <w:rPr>
          <w:rFonts w:ascii="Arial" w:cs="Arial" w:eastAsia="Arial" w:hAnsi="Arial"/>
          <w:sz w:val="16"/>
          <w:szCs w:val="16"/>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152"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Eliminating Duplicative Proxy Materials (“Householding”)</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single annual report and proxy statement or Notice of Internet Availability of proxy materials may be delivered to multiple shareholders who share an address unless one of the affected shareholders has given contrary instructions. This is known as “householding,” and it helps us reduce the cost and environmental impact of printing and mailing our proxy materials. If at any time a shareholder no longer wishes to participate in “householding” and would prefer to receive such shareholder’s own copy of our proxy materials-either now or in the future-or if at any time shareholders who share an address and receive separate copies of our proxy materials would like to receive a single copy of these documents in the future, such shareholder or shareholders may</w:t>
      </w:r>
    </w:p>
    <w:p>
      <w:pPr>
        <w:spacing w:after="0" w:line="3" w:lineRule="exact"/>
        <w:rPr>
          <w:sz w:val="20"/>
          <w:szCs w:val="20"/>
          <w:color w:val="auto"/>
        </w:rPr>
      </w:pPr>
    </w:p>
    <w:p>
      <w:pPr>
        <w:ind w:firstLine="8"/>
        <w:spacing w:after="0" w:line="265" w:lineRule="auto"/>
        <w:tabs>
          <w:tab w:leader="none" w:pos="262"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notify their broker or (2) direct their written or oral request to our transfer agent, Computershare, via regular mail to Computershare, PO Box 43078, Providence, RI 02940-3078, or by phone, toll-free at 800-874-1136. Our transfer agent will promptly comply with any such request.</w:t>
      </w:r>
    </w:p>
    <w:p>
      <w:pPr>
        <w:spacing w:after="0" w:line="24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Availability of Annual Report on Form 10-K</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 xml:space="preserve">Copies of our Annual Report on Form 10-K for the fiscal year ended December 31, 2025 (without exhibits or documents incorporated by reference therein) will be sent without charge to shareholders upon written request to Hubbell Incorporated c/o Katherine A. Lane, Executive Vice President, General Counsel and Secretary, 40 Waterview Drive, Shelton, Connecticut 06484, or by calling (475) 882-4000, by first class mail or other equally prompt means promptly after receipt of such request. Our Annual Report is also available on the Investor Relations page of our website, </w:t>
      </w:r>
      <w:r>
        <w:rPr>
          <w:rFonts w:ascii="Arial" w:cs="Arial" w:eastAsia="Arial" w:hAnsi="Arial"/>
          <w:sz w:val="16"/>
          <w:szCs w:val="16"/>
          <w:b w:val="1"/>
          <w:bCs w:val="1"/>
          <w:color w:val="auto"/>
        </w:rPr>
        <w:t>www.hubbell.com</w:t>
      </w:r>
      <w:r>
        <w:rPr>
          <w:rFonts w:ascii="Arial" w:cs="Arial" w:eastAsia="Arial" w:hAnsi="Arial"/>
          <w:sz w:val="16"/>
          <w:szCs w:val="16"/>
          <w:color w:val="auto"/>
        </w:rPr>
        <w:t>. The reference to our website address does not constitute incorporation by reference of the information contained on the website, and such information is not a part of this Proxy Statement.</w:t>
      </w:r>
    </w:p>
    <w:p>
      <w:pPr>
        <w:spacing w:after="0" w:line="346"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b w:val="1"/>
          <w:bCs w:val="1"/>
          <w:color w:val="auto"/>
        </w:rPr>
        <w:t>82</w:t>
      </w:r>
      <w:r>
        <w:rPr>
          <w:sz w:val="20"/>
          <w:szCs w:val="20"/>
          <w:color w:val="auto"/>
        </w:rPr>
        <w:tab/>
      </w:r>
      <w:r>
        <w:rPr>
          <w:rFonts w:ascii="Arial" w:cs="Arial" w:eastAsia="Arial" w:hAnsi="Arial"/>
          <w:sz w:val="16"/>
          <w:szCs w:val="16"/>
          <w:color w:val="FFF51F"/>
        </w:rPr>
        <w:t xml:space="preserve">I </w:t>
      </w:r>
      <w:r>
        <w:rPr>
          <w:rFonts w:ascii="Arial" w:cs="Arial" w:eastAsia="Arial" w:hAnsi="Arial"/>
          <w:sz w:val="16"/>
          <w:szCs w:val="16"/>
          <w:b w:val="1"/>
          <w:bCs w:val="1"/>
          <w:color w:val="000000"/>
        </w:rPr>
        <w:t>HUBBELL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342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382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32320" cy="9138285"/>
                    </a:xfrm>
                    <a:prstGeom prst="rect">
                      <a:avLst/>
                    </a:prstGeom>
                    <a:noFill/>
                  </pic:spPr>
                </pic:pic>
              </a:graphicData>
            </a:graphic>
          </wp:anchor>
        </w:drawing>
      </w:r>
    </w:p>
    <w:p>
      <w:pPr>
        <w:sectPr>
          <w:pgSz w:w="11900" w:h="16838" w:orient="portrait"/>
          <w:cols w:equalWidth="0" w:num="1">
            <w:col w:w="10139"/>
          </w:cols>
          <w:pgMar w:left="320" w:top="238" w:right="1440" w:bottom="1440" w:gutter="0" w:footer="0" w:header="0"/>
        </w:sectPr>
      </w:pPr>
    </w:p>
    <w:bookmarkStart w:id="84" w:name="page85"/>
    <w:bookmarkEnd w:id="84"/>
    <w:p>
      <w:pPr>
        <w:spacing w:after="0"/>
        <w:rPr>
          <w:sz w:val="20"/>
          <w:szCs w:val="20"/>
          <w:color w:val="auto"/>
        </w:rPr>
      </w:pPr>
      <w:r>
        <w:rPr>
          <w:rFonts w:ascii="Arial" w:cs="Arial" w:eastAsia="Arial" w:hAnsi="Arial"/>
          <w:sz w:val="14"/>
          <w:szCs w:val="14"/>
          <w:b w:val="1"/>
          <w:bCs w:val="1"/>
          <w:u w:val="single" w:color="auto"/>
          <w:color w:val="0000EE"/>
        </w:rPr>
        <w:t>Back to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914717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9147175"/>
                    </a:xfrm>
                    <a:prstGeom prst="rect">
                      <a:avLst/>
                    </a:prstGeom>
                    <a:noFill/>
                  </pic:spPr>
                </pic:pic>
              </a:graphicData>
            </a:graphic>
          </wp:anchor>
        </w:drawing>
      </w:r>
    </w:p>
    <w:sectPr>
      <w:pgSz w:w="11900" w:h="16838" w:orient="portrait"/>
      <w:cols w:equalWidth="0" w:num="1">
        <w:col w:w="10139"/>
      </w:cols>
      <w:pgMar w:left="320" w:top="2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1)"/>
      <w:numFmt w:val="decimal"/>
      <w:start w:val="1"/>
    </w:lvl>
  </w:abstractNum>
  <w:abstractNum w:abstractNumId="3">
    <w:nsid w:val="7644A45C"/>
    <w:multiLevelType w:val="hybridMultilevel"/>
    <w:lvl w:ilvl="0">
      <w:lvlJc w:val="left"/>
      <w:lvlText w:val="(%1)"/>
      <w:numFmt w:val="decimal"/>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1)"/>
      <w:numFmt w:val="decimal"/>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1)"/>
      <w:numFmt w:val="decimal"/>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1)"/>
      <w:numFmt w:val="decimal"/>
      <w:start w:val="2"/>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1)"/>
      <w:numFmt w:val="decimal"/>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1)"/>
      <w:numFmt w:val="decimal"/>
      <w:start w:val="2"/>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1)"/>
      <w:numFmt w:val="decimal"/>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5"/>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1)"/>
      <w:numFmt w:val="decimal"/>
      <w:start w:val="1"/>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decimal"/>
      <w:start w:val="1"/>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1)"/>
      <w:numFmt w:val="decimal"/>
    </w:lvl>
    <w:lvl w:ilvl="1">
      <w:lvlJc w:val="left"/>
      <w:lvlText w:val="•"/>
      <w:numFmt w:val="bullet"/>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decimal"/>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1)"/>
      <w:numFmt w:val="decimal"/>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1)"/>
      <w:numFmt w:val="decimal"/>
      <w:start w:val="1"/>
    </w:lvl>
  </w:abstractNum>
  <w:abstractNum w:abstractNumId="63">
    <w:nsid w:val="A0382C5"/>
    <w:multiLevelType w:val="hybridMultilevel"/>
    <w:lvl w:ilvl="0">
      <w:lvlJc w:val="left"/>
      <w:lvlText w:val="(%1)"/>
      <w:numFmt w:val="decimal"/>
      <w:start w:val="1"/>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1)"/>
      <w:numFmt w:val="decimal"/>
      <w:start w:val="1"/>
    </w:lvl>
  </w:abstractNum>
  <w:abstractNum w:abstractNumId="68">
    <w:nsid w:val="4962813B"/>
    <w:multiLevelType w:val="hybridMultilevel"/>
    <w:lvl w:ilvl="0">
      <w:lvlJc w:val="left"/>
      <w:lvlText w:val="(%1)"/>
      <w:numFmt w:val="decimal"/>
      <w:start w:val="5"/>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2"/>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1)"/>
      <w:numFmt w:val="decimal"/>
      <w:start w:val="1"/>
    </w:lvl>
  </w:abstractNum>
  <w:abstractNum w:abstractNumId="75">
    <w:nsid w:val="100F59DC"/>
    <w:multiLevelType w:val="hybridMultilevel"/>
    <w:lvl w:ilvl="0">
      <w:lvlJc w:val="left"/>
      <w:lvlText w:val="(%1)"/>
      <w:numFmt w:val="decimal"/>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
      <w:numFmt w:val="bullet"/>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1)"/>
      <w:numFmt w:val="decimal"/>
      <w:start w:val="2"/>
    </w:lvl>
  </w:abstractNum>
  <w:abstractNum w:abstractNumId="82">
    <w:nsid w:val="4C04A8AF"/>
    <w:multiLevelType w:val="hybridMultilevel"/>
    <w:lvl w:ilvl="0">
      <w:lvlJc w:val="left"/>
      <w:lvlText w:val="(%1)"/>
      <w:numFmt w:val="decimal"/>
      <w:start w:val="1"/>
    </w:lvl>
  </w:abstractNum>
  <w:abstractNum w:abstractNumId="83">
    <w:nsid w:val="1716703B"/>
    <w:multiLevelType w:val="hybridMultilevel"/>
    <w:lvl w:ilvl="0">
      <w:lvlJc w:val="left"/>
      <w:lvlText w:val="(%1)"/>
      <w:numFmt w:val="decimal"/>
      <w:start w:val="3"/>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1)"/>
      <w:numFmt w:val="decimal"/>
      <w:start w:val="1"/>
    </w:lvl>
  </w:abstractNum>
  <w:abstractNum w:abstractNumId="88">
    <w:nsid w:val="2DF6D648"/>
    <w:multiLevelType w:val="hybridMultilevel"/>
    <w:lvl w:ilvl="0">
      <w:lvlJc w:val="left"/>
      <w:lvlText w:val="(%1)"/>
      <w:numFmt w:val="decimal"/>
      <w:start w:val="1"/>
    </w:lvl>
  </w:abstractNum>
  <w:abstractNum w:abstractNumId="89">
    <w:nsid w:val="46B7D447"/>
    <w:multiLevelType w:val="hybridMultilevel"/>
    <w:lvl w:ilvl="0">
      <w:lvlJc w:val="left"/>
      <w:lvlText w:val="(%1)"/>
      <w:numFmt w:val="decimal"/>
      <w:start w:val="3"/>
    </w:lvl>
  </w:abstractNum>
  <w:abstractNum w:abstractNumId="90">
    <w:nsid w:val="4A2AC315"/>
    <w:multiLevelType w:val="hybridMultilevel"/>
    <w:lvl w:ilvl="0">
      <w:lvlJc w:val="left"/>
      <w:lvlText w:val="•"/>
      <w:numFmt w:val="bullet"/>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jpeg"/><Relationship Id="rId253" Type="http://schemas.openxmlformats.org/officeDocument/2006/relationships/image" Target="media/image246.jpeg"/><Relationship Id="rId254" Type="http://schemas.openxmlformats.org/officeDocument/2006/relationships/image" Target="media/image247.jpeg"/><Relationship Id="rId255" Type="http://schemas.openxmlformats.org/officeDocument/2006/relationships/image" Target="media/image248.jpe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jpe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jpe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jpe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jpe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jpe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jpeg"/><Relationship Id="rId525" Type="http://schemas.openxmlformats.org/officeDocument/2006/relationships/image" Target="media/image518.jpe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jpeg"/><Relationship Id="rId547" Type="http://schemas.openxmlformats.org/officeDocument/2006/relationships/image" Target="media/image540.jpe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jpe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jpe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jpeg"/><Relationship Id="rId590" Type="http://schemas.openxmlformats.org/officeDocument/2006/relationships/image" Target="media/image583.jpeg"/><Relationship Id="rId591" Type="http://schemas.openxmlformats.org/officeDocument/2006/relationships/image" Target="media/image584.jpe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2026-03-23T15:15:29Z</dcterms:created>
  <dcterms:modified xsi:type="dcterms:W3CDTF">2026-03-23T15:15:29Z</dcterms:modified>
</cp:coreProperties>
</file>