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File No. 333-289041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 dated June 2, 2026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Relating to Preliminary Prospectus Supplement dated June 2, 2026</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HUBBELL INCORPORATED</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$500,000,000 4.650% Senior Notes due 2031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$700,000,000 4.900% Senior Notes due 2033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$700,000,000 5.150% Senior Notes due 2036</w:t>
      </w:r>
    </w:p>
    <w:p>
      <w:pPr>
        <w:spacing w:after="0" w:line="229" w:lineRule="exact"/>
        <w:rPr>
          <w:sz w:val="24"/>
          <w:szCs w:val="24"/>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This free writing prospectus relates only to the securities described below and should be read together with Hubbell Incorporated’s preliminary prospectus supplement dated June 2, 2026 (the “Preliminary Prospectus Supplement”), the accompanying prospectus dated June 2, 2026 and the documents incorporated and deemed to be incorporated by reference therein.</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718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Hubbell Incorporated</w:t>
            </w:r>
          </w:p>
        </w:tc>
      </w:tr>
      <w:tr>
        <w:trPr>
          <w:trHeight w:val="32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Title of Securities:</w:t>
            </w:r>
          </w:p>
        </w:tc>
        <w:tc>
          <w:tcPr>
            <w:tcW w:w="26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4.650%</w:t>
            </w: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2031 (the “2031 Notes”)</w:t>
            </w:r>
          </w:p>
        </w:tc>
      </w:tr>
      <w:tr>
        <w:trPr>
          <w:trHeight w:val="338"/>
        </w:trPr>
        <w:tc>
          <w:tcPr>
            <w:tcW w:w="3720" w:type="dxa"/>
            <w:vAlign w:val="bottom"/>
          </w:tcPr>
          <w:p>
            <w:pPr>
              <w:spacing w:after="0"/>
              <w:rPr>
                <w:sz w:val="24"/>
                <w:szCs w:val="24"/>
                <w:color w:val="auto"/>
              </w:rPr>
            </w:pPr>
          </w:p>
        </w:tc>
        <w:tc>
          <w:tcPr>
            <w:tcW w:w="26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4.900%</w:t>
            </w: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2033 (the “2033 Notes”)</w:t>
            </w:r>
          </w:p>
        </w:tc>
      </w:tr>
      <w:tr>
        <w:trPr>
          <w:trHeight w:val="319"/>
        </w:trPr>
        <w:tc>
          <w:tcPr>
            <w:tcW w:w="3720" w:type="dxa"/>
            <w:vAlign w:val="bottom"/>
          </w:tcPr>
          <w:p>
            <w:pPr>
              <w:spacing w:after="0"/>
              <w:rPr>
                <w:sz w:val="24"/>
                <w:szCs w:val="24"/>
                <w:color w:val="auto"/>
              </w:rPr>
            </w:pPr>
          </w:p>
        </w:tc>
        <w:tc>
          <w:tcPr>
            <w:tcW w:w="26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5.150%</w:t>
            </w: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Senior Notes due 2036 (the “2036 Notes”, collectively with the</w:t>
            </w:r>
          </w:p>
        </w:tc>
      </w:tr>
      <w:tr>
        <w:trPr>
          <w:trHeight w:val="234"/>
        </w:trPr>
        <w:tc>
          <w:tcPr>
            <w:tcW w:w="3720" w:type="dxa"/>
            <w:vAlign w:val="bottom"/>
          </w:tcPr>
          <w:p>
            <w:pPr>
              <w:spacing w:after="0"/>
              <w:rPr>
                <w:sz w:val="20"/>
                <w:szCs w:val="20"/>
                <w:color w:val="auto"/>
              </w:rPr>
            </w:pPr>
          </w:p>
        </w:tc>
        <w:tc>
          <w:tcPr>
            <w:tcW w:w="240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99"/>
              </w:rPr>
              <w:t>2031</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and the 2033 Notes, the “Notes”)</w:t>
            </w:r>
          </w:p>
        </w:tc>
      </w:tr>
      <w:tr>
        <w:trPr>
          <w:trHeight w:val="33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718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2031 Notes: $500,000,000</w:t>
            </w:r>
          </w:p>
        </w:tc>
      </w:tr>
      <w:tr>
        <w:trPr>
          <w:trHeight w:val="337"/>
        </w:trPr>
        <w:tc>
          <w:tcPr>
            <w:tcW w:w="3720" w:type="dxa"/>
            <w:vAlign w:val="bottom"/>
          </w:tcPr>
          <w:p>
            <w:pPr>
              <w:spacing w:after="0"/>
              <w:rPr>
                <w:sz w:val="24"/>
                <w:szCs w:val="24"/>
                <w:color w:val="auto"/>
              </w:rPr>
            </w:pPr>
          </w:p>
        </w:tc>
        <w:tc>
          <w:tcPr>
            <w:tcW w:w="240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99"/>
              </w:rPr>
              <w:t>2033</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$700,000,000</w:t>
            </w:r>
          </w:p>
        </w:tc>
      </w:tr>
      <w:tr>
        <w:trPr>
          <w:trHeight w:val="338"/>
        </w:trPr>
        <w:tc>
          <w:tcPr>
            <w:tcW w:w="3720" w:type="dxa"/>
            <w:vAlign w:val="bottom"/>
          </w:tcPr>
          <w:p>
            <w:pPr>
              <w:spacing w:after="0"/>
              <w:rPr>
                <w:sz w:val="24"/>
                <w:szCs w:val="24"/>
                <w:color w:val="auto"/>
              </w:rPr>
            </w:pPr>
          </w:p>
        </w:tc>
        <w:tc>
          <w:tcPr>
            <w:tcW w:w="240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99"/>
              </w:rPr>
              <w:t>2036</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$700,000,000</w:t>
            </w:r>
          </w:p>
        </w:tc>
      </w:tr>
      <w:tr>
        <w:trPr>
          <w:trHeight w:val="33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Maturity:</w:t>
            </w:r>
          </w:p>
        </w:tc>
        <w:tc>
          <w:tcPr>
            <w:tcW w:w="718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2031 Notes: June 15, 2031</w:t>
            </w:r>
          </w:p>
        </w:tc>
      </w:tr>
      <w:tr>
        <w:trPr>
          <w:trHeight w:val="338"/>
        </w:trPr>
        <w:tc>
          <w:tcPr>
            <w:tcW w:w="3720" w:type="dxa"/>
            <w:vAlign w:val="bottom"/>
          </w:tcPr>
          <w:p>
            <w:pPr>
              <w:spacing w:after="0"/>
              <w:rPr>
                <w:sz w:val="24"/>
                <w:szCs w:val="24"/>
                <w:color w:val="auto"/>
              </w:rPr>
            </w:pPr>
          </w:p>
        </w:tc>
        <w:tc>
          <w:tcPr>
            <w:tcW w:w="240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99"/>
              </w:rPr>
              <w:t>2033</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June 15, 2033</w:t>
            </w:r>
          </w:p>
        </w:tc>
      </w:tr>
      <w:tr>
        <w:trPr>
          <w:trHeight w:val="338"/>
        </w:trPr>
        <w:tc>
          <w:tcPr>
            <w:tcW w:w="3720" w:type="dxa"/>
            <w:vAlign w:val="bottom"/>
          </w:tcPr>
          <w:p>
            <w:pPr>
              <w:spacing w:after="0"/>
              <w:rPr>
                <w:sz w:val="24"/>
                <w:szCs w:val="24"/>
                <w:color w:val="auto"/>
              </w:rPr>
            </w:pPr>
          </w:p>
        </w:tc>
        <w:tc>
          <w:tcPr>
            <w:tcW w:w="240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99"/>
              </w:rPr>
              <w:t>2036</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June 15, 2036</w:t>
            </w:r>
          </w:p>
        </w:tc>
      </w:tr>
      <w:tr>
        <w:trPr>
          <w:trHeight w:val="33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Coupon (Interest Rate):</w:t>
            </w:r>
          </w:p>
        </w:tc>
        <w:tc>
          <w:tcPr>
            <w:tcW w:w="718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2031 Notes: 4.650%</w:t>
            </w:r>
          </w:p>
        </w:tc>
      </w:tr>
      <w:tr>
        <w:trPr>
          <w:trHeight w:val="338"/>
        </w:trPr>
        <w:tc>
          <w:tcPr>
            <w:tcW w:w="3720" w:type="dxa"/>
            <w:vAlign w:val="bottom"/>
          </w:tcPr>
          <w:p>
            <w:pPr>
              <w:spacing w:after="0"/>
              <w:rPr>
                <w:sz w:val="24"/>
                <w:szCs w:val="24"/>
                <w:color w:val="auto"/>
              </w:rPr>
            </w:pPr>
          </w:p>
        </w:tc>
        <w:tc>
          <w:tcPr>
            <w:tcW w:w="240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99"/>
              </w:rPr>
              <w:t>2033</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4.900%</w:t>
            </w:r>
          </w:p>
        </w:tc>
      </w:tr>
      <w:tr>
        <w:trPr>
          <w:trHeight w:val="338"/>
        </w:trPr>
        <w:tc>
          <w:tcPr>
            <w:tcW w:w="3720" w:type="dxa"/>
            <w:vAlign w:val="bottom"/>
          </w:tcPr>
          <w:p>
            <w:pPr>
              <w:spacing w:after="0"/>
              <w:rPr>
                <w:sz w:val="24"/>
                <w:szCs w:val="24"/>
                <w:color w:val="auto"/>
              </w:rPr>
            </w:pPr>
          </w:p>
        </w:tc>
        <w:tc>
          <w:tcPr>
            <w:tcW w:w="240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99"/>
              </w:rPr>
              <w:t>2036</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5.150%</w:t>
            </w:r>
          </w:p>
        </w:tc>
      </w:tr>
    </w:tbl>
    <w:p>
      <w:pPr>
        <w:sectPr>
          <w:pgSz w:w="11900" w:h="16838" w:orient="portrait"/>
          <w:cols w:equalWidth="0" w:num="1">
            <w:col w:w="11020"/>
          </w:cols>
          <w:pgMar w:left="440" w:top="225" w:right="4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Issue Price (Price to Public):</w:t>
            </w:r>
          </w:p>
        </w:tc>
        <w:tc>
          <w:tcPr>
            <w:tcW w:w="24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2031 Notes:</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99.469% of principal amount</w:t>
            </w:r>
          </w:p>
        </w:tc>
      </w:tr>
      <w:tr>
        <w:trPr>
          <w:trHeight w:val="338"/>
        </w:trPr>
        <w:tc>
          <w:tcPr>
            <w:tcW w:w="4220" w:type="dxa"/>
            <w:vAlign w:val="bottom"/>
          </w:tcPr>
          <w:p>
            <w:pPr>
              <w:spacing w:after="0"/>
              <w:rPr>
                <w:sz w:val="24"/>
                <w:szCs w:val="24"/>
                <w:color w:val="auto"/>
              </w:rPr>
            </w:pPr>
          </w:p>
        </w:tc>
        <w:tc>
          <w:tcPr>
            <w:tcW w:w="190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9"/>
              </w:rPr>
              <w:t>2033</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99.378% of principal amount</w:t>
            </w:r>
          </w:p>
        </w:tc>
      </w:tr>
      <w:tr>
        <w:trPr>
          <w:trHeight w:val="338"/>
        </w:trPr>
        <w:tc>
          <w:tcPr>
            <w:tcW w:w="4220" w:type="dxa"/>
            <w:vAlign w:val="bottom"/>
          </w:tcPr>
          <w:p>
            <w:pPr>
              <w:spacing w:after="0"/>
              <w:rPr>
                <w:sz w:val="24"/>
                <w:szCs w:val="24"/>
                <w:color w:val="auto"/>
              </w:rPr>
            </w:pPr>
          </w:p>
        </w:tc>
        <w:tc>
          <w:tcPr>
            <w:tcW w:w="190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9"/>
              </w:rPr>
              <w:t>2036</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99.220% of principal amount</w:t>
            </w:r>
          </w:p>
        </w:tc>
      </w:tr>
      <w:tr>
        <w:trPr>
          <w:trHeight w:val="33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24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2031 Notes:</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4.125% due May 31, 2031</w:t>
            </w:r>
          </w:p>
        </w:tc>
      </w:tr>
      <w:tr>
        <w:trPr>
          <w:trHeight w:val="338"/>
        </w:trPr>
        <w:tc>
          <w:tcPr>
            <w:tcW w:w="4220" w:type="dxa"/>
            <w:vAlign w:val="bottom"/>
          </w:tcPr>
          <w:p>
            <w:pPr>
              <w:spacing w:after="0"/>
              <w:rPr>
                <w:sz w:val="24"/>
                <w:szCs w:val="24"/>
                <w:color w:val="auto"/>
              </w:rPr>
            </w:pPr>
          </w:p>
        </w:tc>
        <w:tc>
          <w:tcPr>
            <w:tcW w:w="190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9"/>
              </w:rPr>
              <w:t>2033</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4.250% due May 31, 2033</w:t>
            </w:r>
          </w:p>
        </w:tc>
      </w:tr>
      <w:tr>
        <w:trPr>
          <w:trHeight w:val="338"/>
        </w:trPr>
        <w:tc>
          <w:tcPr>
            <w:tcW w:w="4220" w:type="dxa"/>
            <w:vAlign w:val="bottom"/>
          </w:tcPr>
          <w:p>
            <w:pPr>
              <w:spacing w:after="0"/>
              <w:rPr>
                <w:sz w:val="24"/>
                <w:szCs w:val="24"/>
                <w:color w:val="auto"/>
              </w:rPr>
            </w:pPr>
          </w:p>
        </w:tc>
        <w:tc>
          <w:tcPr>
            <w:tcW w:w="190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9"/>
              </w:rPr>
              <w:t>2036</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4.375% due May 15, 2036</w:t>
            </w:r>
          </w:p>
        </w:tc>
      </w:tr>
      <w:tr>
        <w:trPr>
          <w:trHeight w:val="33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24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2031 Notes:</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 basis points</w:t>
            </w:r>
          </w:p>
        </w:tc>
      </w:tr>
      <w:tr>
        <w:trPr>
          <w:trHeight w:val="338"/>
        </w:trPr>
        <w:tc>
          <w:tcPr>
            <w:tcW w:w="4220" w:type="dxa"/>
            <w:vAlign w:val="bottom"/>
          </w:tcPr>
          <w:p>
            <w:pPr>
              <w:spacing w:after="0"/>
              <w:rPr>
                <w:sz w:val="24"/>
                <w:szCs w:val="24"/>
                <w:color w:val="auto"/>
              </w:rPr>
            </w:pPr>
          </w:p>
        </w:tc>
        <w:tc>
          <w:tcPr>
            <w:tcW w:w="190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9"/>
              </w:rPr>
              <w:t>2033</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 basis points</w:t>
            </w:r>
          </w:p>
        </w:tc>
      </w:tr>
      <w:tr>
        <w:trPr>
          <w:trHeight w:val="338"/>
        </w:trPr>
        <w:tc>
          <w:tcPr>
            <w:tcW w:w="4220" w:type="dxa"/>
            <w:vAlign w:val="bottom"/>
          </w:tcPr>
          <w:p>
            <w:pPr>
              <w:spacing w:after="0"/>
              <w:rPr>
                <w:sz w:val="24"/>
                <w:szCs w:val="24"/>
                <w:color w:val="auto"/>
              </w:rPr>
            </w:pPr>
          </w:p>
        </w:tc>
        <w:tc>
          <w:tcPr>
            <w:tcW w:w="190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9"/>
              </w:rPr>
              <w:t>2036</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80 basis points</w:t>
            </w:r>
          </w:p>
        </w:tc>
      </w:tr>
      <w:tr>
        <w:trPr>
          <w:trHeight w:val="33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 and Yield:</w:t>
            </w:r>
          </w:p>
        </w:tc>
        <w:tc>
          <w:tcPr>
            <w:tcW w:w="24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2031 Notes:</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99-25+; 4.170%</w:t>
            </w:r>
          </w:p>
        </w:tc>
      </w:tr>
      <w:tr>
        <w:trPr>
          <w:trHeight w:val="441"/>
        </w:trPr>
        <w:tc>
          <w:tcPr>
            <w:tcW w:w="4220" w:type="dxa"/>
            <w:vAlign w:val="bottom"/>
          </w:tcPr>
          <w:p>
            <w:pPr>
              <w:spacing w:after="0"/>
              <w:rPr>
                <w:sz w:val="24"/>
                <w:szCs w:val="24"/>
                <w:color w:val="auto"/>
              </w:rPr>
            </w:pPr>
          </w:p>
        </w:tc>
        <w:tc>
          <w:tcPr>
            <w:tcW w:w="190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9"/>
              </w:rPr>
              <w:t>2033</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99-21</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4</w:t>
            </w:r>
            <w:r>
              <w:rPr>
                <w:rFonts w:ascii="Times New Roman" w:cs="Times New Roman" w:eastAsia="Times New Roman" w:hAnsi="Times New Roman"/>
                <w:sz w:val="18"/>
                <w:szCs w:val="18"/>
                <w:color w:val="auto"/>
              </w:rPr>
              <w:t>; 4.306%</w:t>
            </w:r>
          </w:p>
        </w:tc>
      </w:tr>
      <w:tr>
        <w:trPr>
          <w:trHeight w:val="234"/>
        </w:trPr>
        <w:tc>
          <w:tcPr>
            <w:tcW w:w="4220" w:type="dxa"/>
            <w:vAlign w:val="bottom"/>
          </w:tcPr>
          <w:p>
            <w:pPr>
              <w:spacing w:after="0"/>
              <w:rPr>
                <w:sz w:val="20"/>
                <w:szCs w:val="20"/>
                <w:color w:val="auto"/>
              </w:rPr>
            </w:pPr>
          </w:p>
        </w:tc>
        <w:tc>
          <w:tcPr>
            <w:tcW w:w="190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9"/>
              </w:rPr>
              <w:t>2036</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99-12+; 4.451%</w:t>
            </w:r>
          </w:p>
        </w:tc>
      </w:tr>
      <w:tr>
        <w:trPr>
          <w:trHeight w:val="33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24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2031 Notes:</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4.770%</w:t>
            </w:r>
          </w:p>
        </w:tc>
      </w:tr>
      <w:tr>
        <w:trPr>
          <w:trHeight w:val="338"/>
        </w:trPr>
        <w:tc>
          <w:tcPr>
            <w:tcW w:w="4220" w:type="dxa"/>
            <w:vAlign w:val="bottom"/>
          </w:tcPr>
          <w:p>
            <w:pPr>
              <w:spacing w:after="0"/>
              <w:rPr>
                <w:sz w:val="24"/>
                <w:szCs w:val="24"/>
                <w:color w:val="auto"/>
              </w:rPr>
            </w:pPr>
          </w:p>
        </w:tc>
        <w:tc>
          <w:tcPr>
            <w:tcW w:w="190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9"/>
              </w:rPr>
              <w:t>2033</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5.006%</w:t>
            </w:r>
          </w:p>
        </w:tc>
      </w:tr>
      <w:tr>
        <w:trPr>
          <w:trHeight w:val="338"/>
        </w:trPr>
        <w:tc>
          <w:tcPr>
            <w:tcW w:w="4220" w:type="dxa"/>
            <w:vAlign w:val="bottom"/>
          </w:tcPr>
          <w:p>
            <w:pPr>
              <w:spacing w:after="0"/>
              <w:rPr>
                <w:sz w:val="24"/>
                <w:szCs w:val="24"/>
                <w:color w:val="auto"/>
              </w:rPr>
            </w:pPr>
          </w:p>
        </w:tc>
        <w:tc>
          <w:tcPr>
            <w:tcW w:w="190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9"/>
              </w:rPr>
              <w:t>2036</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5.251%</w:t>
            </w:r>
          </w:p>
        </w:tc>
      </w:tr>
      <w:tr>
        <w:trPr>
          <w:trHeight w:val="337"/>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678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w w:val="99"/>
              </w:rPr>
              <w:t>2031 Notes: June 15 and December 15, commencing December 15, 2026</w:t>
            </w:r>
          </w:p>
        </w:tc>
      </w:tr>
      <w:tr>
        <w:trPr>
          <w:trHeight w:val="338"/>
        </w:trPr>
        <w:tc>
          <w:tcPr>
            <w:tcW w:w="4220" w:type="dxa"/>
            <w:vAlign w:val="bottom"/>
          </w:tcPr>
          <w:p>
            <w:pPr>
              <w:spacing w:after="0"/>
              <w:rPr>
                <w:sz w:val="24"/>
                <w:szCs w:val="24"/>
                <w:color w:val="auto"/>
              </w:rPr>
            </w:pPr>
          </w:p>
        </w:tc>
        <w:tc>
          <w:tcPr>
            <w:tcW w:w="190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9"/>
              </w:rPr>
              <w:t>2033</w:t>
            </w: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Notes: June 15 and December 15, commencing December 15, 2026</w:t>
            </w:r>
          </w:p>
        </w:tc>
      </w:tr>
      <w:tr>
        <w:trPr>
          <w:trHeight w:val="338"/>
        </w:trPr>
        <w:tc>
          <w:tcPr>
            <w:tcW w:w="4220" w:type="dxa"/>
            <w:vAlign w:val="bottom"/>
          </w:tcPr>
          <w:p>
            <w:pPr>
              <w:spacing w:after="0"/>
              <w:rPr>
                <w:sz w:val="24"/>
                <w:szCs w:val="24"/>
                <w:color w:val="auto"/>
              </w:rPr>
            </w:pPr>
          </w:p>
        </w:tc>
        <w:tc>
          <w:tcPr>
            <w:tcW w:w="190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9"/>
              </w:rPr>
              <w:t>2036</w:t>
            </w: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Notes: June 15 and December 15, commencing December 15, 2026</w:t>
            </w:r>
          </w:p>
        </w:tc>
      </w:tr>
      <w:tr>
        <w:trPr>
          <w:trHeight w:val="33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 Provisions:</w:t>
            </w:r>
          </w:p>
        </w:tc>
        <w:tc>
          <w:tcPr>
            <w:tcW w:w="24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2031 Notes:</w:t>
            </w:r>
          </w:p>
        </w:tc>
        <w:tc>
          <w:tcPr>
            <w:tcW w:w="4360" w:type="dxa"/>
            <w:vAlign w:val="bottom"/>
          </w:tcPr>
          <w:p>
            <w:pPr>
              <w:spacing w:after="0"/>
              <w:rPr>
                <w:sz w:val="24"/>
                <w:szCs w:val="24"/>
                <w:color w:val="auto"/>
              </w:rPr>
            </w:pPr>
          </w:p>
        </w:tc>
      </w:tr>
      <w:tr>
        <w:trPr>
          <w:trHeight w:val="319"/>
        </w:trPr>
        <w:tc>
          <w:tcPr>
            <w:tcW w:w="4220" w:type="dxa"/>
            <w:vAlign w:val="bottom"/>
          </w:tcPr>
          <w:p>
            <w:pPr>
              <w:spacing w:after="0"/>
              <w:rPr>
                <w:sz w:val="24"/>
                <w:szCs w:val="24"/>
                <w:color w:val="auto"/>
              </w:rPr>
            </w:pPr>
          </w:p>
        </w:tc>
        <w:tc>
          <w:tcPr>
            <w:tcW w:w="678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rPr>
              <w:t>Treasury plus 10 basis points prior to May 15, 2031 (the date that is one</w:t>
            </w:r>
          </w:p>
        </w:tc>
      </w:tr>
      <w:tr>
        <w:trPr>
          <w:trHeight w:val="234"/>
        </w:trPr>
        <w:tc>
          <w:tcPr>
            <w:tcW w:w="4220" w:type="dxa"/>
            <w:vAlign w:val="bottom"/>
          </w:tcPr>
          <w:p>
            <w:pPr>
              <w:spacing w:after="0"/>
              <w:rPr>
                <w:sz w:val="20"/>
                <w:szCs w:val="20"/>
                <w:color w:val="auto"/>
              </w:rPr>
            </w:pPr>
          </w:p>
        </w:tc>
        <w:tc>
          <w:tcPr>
            <w:tcW w:w="678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rPr>
              <w:t>month prior to the scheduled maturity date of the Notes).</w:t>
            </w:r>
          </w:p>
        </w:tc>
      </w:tr>
    </w:tbl>
    <w:p>
      <w:pPr>
        <w:sectPr>
          <w:pgSz w:w="11900" w:h="16838" w:orient="portrait"/>
          <w:cols w:equalWidth="0" w:num="1">
            <w:col w:w="11000"/>
          </w:cols>
          <w:pgMar w:left="440" w:top="270" w:right="459" w:bottom="1440" w:gutter="0" w:footer="0" w:header="0"/>
        </w:sectPr>
      </w:pPr>
    </w:p>
    <w:bookmarkStart w:id="2" w:name="page3"/>
    <w:bookmarkEnd w:id="2"/>
    <w:p>
      <w:pPr>
        <w:ind w:left="57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any time on or after May 15, 2031 (the date that is one month prior to</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the scheduled maturity date of the Notes), we may redeem the Notes at</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par.</w:t>
      </w:r>
    </w:p>
    <w:p>
      <w:pPr>
        <w:spacing w:after="0" w:line="9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Accrued and unpaid interest, if any, will be paid up to, but excluding, the</w:t>
      </w:r>
    </w:p>
    <w:p>
      <w:pPr>
        <w:spacing w:after="0" w:line="3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optional redemption date.</w:t>
      </w:r>
    </w:p>
    <w:p>
      <w:pPr>
        <w:spacing w:after="0" w:line="9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2033 Notes:</w:t>
      </w:r>
    </w:p>
    <w:p>
      <w:pPr>
        <w:spacing w:after="0" w:line="13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Treasury plus 15 basis points prior to April 15, 2033 (the date that is two</w:t>
      </w:r>
    </w:p>
    <w:p>
      <w:pPr>
        <w:spacing w:after="0" w:line="3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months prior to the scheduled maturity date of the Notes).</w:t>
      </w:r>
    </w:p>
    <w:p>
      <w:pPr>
        <w:spacing w:after="0" w:line="11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At any time on or after April 15, 2033 (the date that is two months prior</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to the scheduled maturity date of the Notes), we may redeem the Notes</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at par.</w:t>
      </w:r>
    </w:p>
    <w:p>
      <w:pPr>
        <w:spacing w:after="0" w:line="9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Accrued and unpaid interest, if any, will be paid up to, but excluding, the</w:t>
      </w:r>
    </w:p>
    <w:p>
      <w:pPr>
        <w:spacing w:after="0" w:line="3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optional redemption date.</w:t>
      </w:r>
    </w:p>
    <w:p>
      <w:pPr>
        <w:spacing w:after="0" w:line="9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2036 Notes:</w:t>
      </w:r>
    </w:p>
    <w:p>
      <w:pPr>
        <w:spacing w:after="0" w:line="13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Treasury plus 15 basis points prior to March 15, 2036 (the date that is</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three months prior to the scheduled maturity date of the Notes).</w:t>
      </w:r>
    </w:p>
    <w:p>
      <w:pPr>
        <w:spacing w:after="0" w:line="11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At any time on or after March 15, 2036 (the date that is three months</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prior to the scheduled maturity date of the Notes), we may redeem the</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Notes at par.</w:t>
      </w:r>
    </w:p>
    <w:p>
      <w:pPr>
        <w:spacing w:after="0" w:line="9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Accrued and unpaid interest, if any, will be paid up to, but excluding, the</w:t>
      </w:r>
    </w:p>
    <w:p>
      <w:pPr>
        <w:spacing w:after="0" w:line="3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optional redemption date.</w:t>
      </w:r>
    </w:p>
    <w:p>
      <w:pPr>
        <w:sectPr>
          <w:pgSz w:w="11900" w:h="16838" w:orient="portrait"/>
          <w:cols w:equalWidth="0" w:num="1">
            <w:col w:w="10980"/>
          </w:cols>
          <w:pgMar w:left="440" w:top="270" w:right="479" w:bottom="1440" w:gutter="0" w:footer="0" w:header="0"/>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Special Mandatory Redemption Provisions: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described in the Preliminary Prospectus Supplement dated June 2, 2026.</w:t>
      </w:r>
    </w:p>
    <w:p>
      <w:pPr>
        <w:sectPr>
          <w:pgSz w:w="11900" w:h="16838" w:orient="portrait"/>
          <w:cols w:equalWidth="0" w:num="2">
            <w:col w:w="5020" w:space="720"/>
            <w:col w:w="5240"/>
          </w:cols>
          <w:pgMar w:left="440" w:top="270" w:right="479" w:bottom="1440" w:gutter="0" w:footer="0" w:header="0"/>
          <w:type w:val="continuous"/>
        </w:sectPr>
      </w:pPr>
    </w:p>
    <w:bookmarkStart w:id="3" w:name="page4"/>
    <w:bookmarkEnd w:id="3"/>
    <w:p>
      <w:pPr>
        <w:ind w:left="4"/>
        <w:spacing w:after="0"/>
        <w:rPr>
          <w:sz w:val="20"/>
          <w:szCs w:val="20"/>
          <w:color w:val="auto"/>
        </w:rPr>
      </w:pPr>
      <w:r>
        <w:rPr>
          <w:rFonts w:ascii="Times New Roman" w:cs="Times New Roman" w:eastAsia="Times New Roman" w:hAnsi="Times New Roman"/>
          <w:sz w:val="17"/>
          <w:szCs w:val="17"/>
          <w:color w:val="auto"/>
        </w:rPr>
        <w:t>Change of Control Offer: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As described in the 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-274955</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5024" w:space="720"/>
            <w:col w:w="5120"/>
          </w:cols>
          <w:pgMar w:left="436" w:top="378" w:right="599" w:bottom="1440" w:gutter="0" w:footer="0" w:header="0"/>
        </w:sectPr>
      </w:pPr>
    </w:p>
    <w:p>
      <w:pPr>
        <w:ind w:left="4"/>
        <w:spacing w:after="0"/>
        <w:rPr>
          <w:sz w:val="20"/>
          <w:szCs w:val="20"/>
          <w:color w:val="auto"/>
        </w:rPr>
      </w:pPr>
      <w:r>
        <w:rPr>
          <w:rFonts w:ascii="Times New Roman" w:cs="Times New Roman" w:eastAsia="Times New Roman" w:hAnsi="Times New Roman"/>
          <w:sz w:val="17"/>
          <w:szCs w:val="17"/>
          <w:color w:val="auto"/>
        </w:rPr>
        <w:t>Legal Format: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SEC-registered</w:t>
      </w:r>
    </w:p>
    <w:p>
      <w:pPr>
        <w:spacing w:after="0" w:line="129" w:lineRule="exact"/>
        <w:rPr>
          <w:sz w:val="20"/>
          <w:szCs w:val="20"/>
          <w:color w:val="auto"/>
        </w:rPr>
      </w:pPr>
    </w:p>
    <w:p>
      <w:pPr>
        <w:sectPr>
          <w:pgSz w:w="11900" w:h="16838" w:orient="portrait"/>
          <w:cols w:equalWidth="0" w:num="2">
            <w:col w:w="5024" w:space="720"/>
            <w:col w:w="5120"/>
          </w:cols>
          <w:pgMar w:left="436" w:top="378" w:right="5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June 2, 2026</w:t>
      </w:r>
    </w:p>
    <w:p>
      <w:pPr>
        <w:spacing w:after="0" w:line="129" w:lineRule="exact"/>
        <w:rPr>
          <w:sz w:val="20"/>
          <w:szCs w:val="20"/>
          <w:color w:val="auto"/>
        </w:rPr>
      </w:pPr>
    </w:p>
    <w:p>
      <w:pPr>
        <w:sectPr>
          <w:pgSz w:w="11900" w:h="16838" w:orient="portrait"/>
          <w:cols w:equalWidth="0" w:num="2">
            <w:col w:w="5024" w:space="720"/>
            <w:col w:w="5120"/>
          </w:cols>
          <w:pgMar w:left="436" w:top="378" w:right="5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T+4; June 8, 2026</w:t>
      </w:r>
    </w:p>
    <w:p>
      <w:pPr>
        <w:spacing w:after="0" w:line="129" w:lineRule="exact"/>
        <w:rPr>
          <w:sz w:val="20"/>
          <w:szCs w:val="20"/>
          <w:color w:val="auto"/>
        </w:rPr>
      </w:pPr>
    </w:p>
    <w:p>
      <w:pPr>
        <w:sectPr>
          <w:pgSz w:w="11900" w:h="16838" w:orient="portrait"/>
          <w:cols w:equalWidth="0" w:num="2">
            <w:col w:w="5024" w:space="720"/>
            <w:col w:w="5120"/>
          </w:cols>
          <w:pgMar w:left="436" w:top="378" w:right="5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HSBC Securities (USA) Inc.</w:t>
      </w:r>
    </w:p>
    <w:p>
      <w:pPr>
        <w:spacing w:after="0" w:line="124" w:lineRule="exact"/>
        <w:rPr>
          <w:sz w:val="20"/>
          <w:szCs w:val="20"/>
          <w:color w:val="auto"/>
        </w:rPr>
      </w:pPr>
    </w:p>
    <w:p>
      <w:pPr>
        <w:sectPr>
          <w:pgSz w:w="11900" w:h="16838" w:orient="portrait"/>
          <w:cols w:equalWidth="0" w:num="2">
            <w:col w:w="5024" w:space="720"/>
            <w:col w:w="5120"/>
          </w:cols>
          <w:pgMar w:left="436" w:top="378" w:right="5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Senior 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M&amp;T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Bancorp Investments, Inc.</w:t>
      </w:r>
    </w:p>
    <w:p>
      <w:pPr>
        <w:spacing w:after="0" w:line="124" w:lineRule="exact"/>
        <w:rPr>
          <w:sz w:val="20"/>
          <w:szCs w:val="20"/>
          <w:color w:val="auto"/>
        </w:rPr>
      </w:pPr>
    </w:p>
    <w:p>
      <w:pPr>
        <w:sectPr>
          <w:pgSz w:w="11900" w:h="16838" w:orient="portrait"/>
          <w:cols w:equalWidth="0" w:num="2">
            <w:col w:w="5024" w:space="720"/>
            <w:col w:w="5120"/>
          </w:cols>
          <w:pgMar w:left="436" w:top="378" w:right="5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Citizens JMP Securities,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112" w:lineRule="exact"/>
        <w:rPr>
          <w:sz w:val="20"/>
          <w:szCs w:val="20"/>
          <w:color w:val="auto"/>
        </w:rPr>
      </w:pPr>
    </w:p>
    <w:p>
      <w:pPr>
        <w:sectPr>
          <w:pgSz w:w="11900" w:h="16838" w:orient="portrait"/>
          <w:cols w:equalWidth="0" w:num="2">
            <w:col w:w="5024" w:space="720"/>
            <w:col w:w="5120"/>
          </w:cols>
          <w:pgMar w:left="436" w:top="378" w:right="5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2031 Notes: 443510 AM4</w:t>
      </w:r>
    </w:p>
    <w:p>
      <w:pPr>
        <w:spacing w:after="0" w:line="142" w:lineRule="exact"/>
        <w:rPr>
          <w:sz w:val="20"/>
          <w:szCs w:val="20"/>
          <w:color w:val="auto"/>
        </w:rPr>
      </w:pPr>
    </w:p>
    <w:p>
      <w:pPr>
        <w:sectPr>
          <w:pgSz w:w="11900" w:h="16838" w:orient="portrait"/>
          <w:cols w:equalWidth="0" w:num="2">
            <w:col w:w="5024" w:space="720"/>
            <w:col w:w="5120"/>
          </w:cols>
          <w:pgMar w:left="436" w:top="378" w:right="599" w:bottom="1440" w:gutter="0" w:footer="0" w:header="0"/>
          <w:type w:val="continuous"/>
        </w:sectPr>
      </w:pPr>
    </w:p>
    <w:p>
      <w:pPr>
        <w:ind w:left="5744"/>
        <w:spacing w:after="0"/>
        <w:rPr>
          <w:sz w:val="20"/>
          <w:szCs w:val="20"/>
          <w:color w:val="auto"/>
        </w:rPr>
      </w:pPr>
      <w:r>
        <w:rPr>
          <w:rFonts w:ascii="Times New Roman" w:cs="Times New Roman" w:eastAsia="Times New Roman" w:hAnsi="Times New Roman"/>
          <w:sz w:val="17"/>
          <w:szCs w:val="17"/>
          <w:color w:val="auto"/>
        </w:rPr>
        <w:t>2033 Notes: 443510 AN2</w:t>
      </w:r>
    </w:p>
    <w:p>
      <w:pPr>
        <w:spacing w:after="0" w:line="142"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2036 Notes: 443510 AP7</w:t>
      </w:r>
    </w:p>
    <w:p>
      <w:pPr>
        <w:sectPr>
          <w:pgSz w:w="11900" w:h="16838" w:orient="portrait"/>
          <w:cols w:equalWidth="0" w:num="1">
            <w:col w:w="10864"/>
          </w:cols>
          <w:pgMar w:left="436" w:top="378" w:right="599" w:bottom="1440" w:gutter="0" w:footer="0" w:header="0"/>
          <w:type w:val="continuous"/>
        </w:sectPr>
      </w:pP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ISIN: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2031 Notes: US443510AM41</w:t>
      </w:r>
    </w:p>
    <w:p>
      <w:pPr>
        <w:spacing w:after="0" w:line="142" w:lineRule="exact"/>
        <w:rPr>
          <w:sz w:val="20"/>
          <w:szCs w:val="20"/>
          <w:color w:val="auto"/>
        </w:rPr>
      </w:pPr>
    </w:p>
    <w:p>
      <w:pPr>
        <w:sectPr>
          <w:pgSz w:w="11900" w:h="16838" w:orient="portrait"/>
          <w:cols w:equalWidth="0" w:num="2">
            <w:col w:w="5024" w:space="720"/>
            <w:col w:w="5120"/>
          </w:cols>
          <w:pgMar w:left="436" w:top="378" w:right="599" w:bottom="1440" w:gutter="0" w:footer="0" w:header="0"/>
          <w:type w:val="continuous"/>
        </w:sectPr>
      </w:pPr>
    </w:p>
    <w:p>
      <w:pPr>
        <w:ind w:left="5744"/>
        <w:spacing w:after="0"/>
        <w:rPr>
          <w:sz w:val="20"/>
          <w:szCs w:val="20"/>
          <w:color w:val="auto"/>
        </w:rPr>
      </w:pPr>
      <w:r>
        <w:rPr>
          <w:rFonts w:ascii="Times New Roman" w:cs="Times New Roman" w:eastAsia="Times New Roman" w:hAnsi="Times New Roman"/>
          <w:sz w:val="17"/>
          <w:szCs w:val="17"/>
          <w:color w:val="auto"/>
        </w:rPr>
        <w:t>2033 Notes: US443510AN24</w:t>
      </w:r>
    </w:p>
    <w:p>
      <w:pPr>
        <w:spacing w:after="0" w:line="142"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2036 Notes: US443510AP71</w:t>
      </w:r>
    </w:p>
    <w:p>
      <w:pPr>
        <w:sectPr>
          <w:pgSz w:w="11900" w:h="16838" w:orient="portrait"/>
          <w:cols w:equalWidth="0" w:num="1">
            <w:col w:w="10864"/>
          </w:cols>
          <w:pgMar w:left="436" w:top="378" w:right="599" w:bottom="1440" w:gutter="0" w:footer="0" w:header="0"/>
          <w:type w:val="continuous"/>
        </w:sectPr>
      </w:pP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Expected Ratings (Moody’s / S&amp;P / Fitch)</w:t>
      </w:r>
      <w:r>
        <w:rPr>
          <w:rFonts w:ascii="Times New Roman" w:cs="Times New Roman" w:eastAsia="Times New Roman" w:hAnsi="Times New Roman"/>
          <w:sz w:val="12"/>
          <w:szCs w:val="12"/>
          <w:color w:val="auto"/>
        </w:rPr>
        <w: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Baa1 / BBB+ / A-</w:t>
      </w:r>
    </w:p>
    <w:p>
      <w:pPr>
        <w:spacing w:after="0" w:line="200" w:lineRule="exact"/>
        <w:rPr>
          <w:sz w:val="20"/>
          <w:szCs w:val="20"/>
          <w:color w:val="auto"/>
        </w:rPr>
      </w:pPr>
    </w:p>
    <w:p>
      <w:pPr>
        <w:sectPr>
          <w:pgSz w:w="11900" w:h="16838" w:orient="portrait"/>
          <w:cols w:equalWidth="0" w:num="2">
            <w:col w:w="5024" w:space="720"/>
            <w:col w:w="5120"/>
          </w:cols>
          <w:pgMar w:left="436" w:top="378" w:right="599" w:bottom="1440" w:gutter="0" w:footer="0" w:header="0"/>
          <w:type w:val="continuous"/>
        </w:sectPr>
      </w:pPr>
    </w:p>
    <w:p>
      <w:pPr>
        <w:spacing w:after="0" w:line="33"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8"/>
          <w:szCs w:val="18"/>
          <w:b w:val="1"/>
          <w:bCs w:val="1"/>
          <w:color w:val="auto"/>
        </w:rPr>
        <w:t>The underwriters expect to deliver the securities to purchasers on or about June 8, 2026, which will be the fourth business day following the date of pricing of the securities (such settlement cycle being herein referred to as “T+4”). Under Rule 15c6-1 of the Securities Exchange Act of 1934, as amended, trades in the secondary market generally are required to settle in one business day, unless the parties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1"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 securities rating is not a recommendation to buy, sell or hold securities and may be subject to revision or withdrawal at any time.</w:t>
      </w:r>
    </w:p>
    <w:p>
      <w:pPr>
        <w:sectPr>
          <w:pgSz w:w="11900" w:h="16838" w:orient="portrait"/>
          <w:cols w:equalWidth="0" w:num="1">
            <w:col w:w="10864"/>
          </w:cols>
          <w:pgMar w:left="436" w:top="378" w:right="599" w:bottom="1440" w:gutter="0" w:footer="0" w:header="0"/>
          <w:type w:val="continuous"/>
        </w:sectPr>
      </w:pPr>
    </w:p>
    <w:bookmarkStart w:id="4" w:name="page5"/>
    <w:bookmarkEnd w:id="4"/>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trade expressly agree otherwise. Accordingly, purchasers who wish to trade the securities prior to the business day before the delivery of the securities will be required, by virtue of the fact that the securities initially will settle in T+4, to specify an alternate settlement cycle at the time of any such trade to prevent a failed settlement. Purchasers of the securities who wish to trade the securities prior to the business day before the delivery of the securities should consult their own advisor.</w:t>
      </w:r>
    </w:p>
    <w:p>
      <w:pPr>
        <w:spacing w:after="0" w:line="17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SEC’s website at www.sec.gov.</w:t>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Alternatively, the issuer, any underwriter or any dealer participating in the offering will arrange to send you the prospectus if you request it by calling J.P. Morgan Securities LLC collect at (212) 834-4533, BofA Securities, Inc. toll free at (800) 294-1322 or HSBC Securities (USA) Inc. toll-free at (866) 811-8049.</w:t>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2026-06-02T16:21:19Z</dcterms:created>
  <dcterms:modified xsi:type="dcterms:W3CDTF">2026-06-02T16:21:19Z</dcterms:modified>
</cp:coreProperties>
</file>