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8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240" w:after="180"/>
        <w:jc w:val="center"/>
        <w:rPr/>
      </w:pPr>
      <w:r>
        <w:rPr>
          <w:rFonts w:ascii="Times New Roman;serif" w:hAnsi="Times New Roman;serif"/>
          <w:b/>
          <w:color w:val="000000"/>
          <w:sz w:val="24"/>
        </w:rPr>
        <w:t>Date of Report (Date of earliest event reported): July 28, 2026</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HUBBELL INCORPORATED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469" w:type="dxa"/>
        <w:jc w:val="left"/>
        <w:tblInd w:w="0" w:type="dxa"/>
        <w:tblLayout w:type="fixed"/>
        <w:tblCellMar>
          <w:top w:w="28" w:type="dxa"/>
          <w:left w:w="28" w:type="dxa"/>
          <w:bottom w:w="28" w:type="dxa"/>
          <w:right w:w="28" w:type="dxa"/>
        </w:tblCellMar>
      </w:tblPr>
      <w:tblGrid>
        <w:gridCol w:w="516"/>
        <w:gridCol w:w="454"/>
        <w:gridCol w:w="454"/>
        <w:gridCol w:w="497"/>
        <w:gridCol w:w="497"/>
        <w:gridCol w:w="506"/>
        <w:gridCol w:w="176"/>
        <w:gridCol w:w="176"/>
        <w:gridCol w:w="176"/>
        <w:gridCol w:w="176"/>
        <w:gridCol w:w="176"/>
        <w:gridCol w:w="181"/>
        <w:gridCol w:w="433"/>
        <w:gridCol w:w="433"/>
        <w:gridCol w:w="618"/>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Connecticut</w:t>
            </w:r>
          </w:p>
        </w:tc>
        <w:tc>
          <w:tcPr>
            <w:tcW w:w="10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1-2958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06-0397030</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40 Waterview Drive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Shelton,</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Connecticut</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06484</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(475) 882-4000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ind w:left="0" w:right="0" w:hanging="72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ind w:left="0" w:right="0" w:hanging="72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ind w:left="0" w:right="0" w:hanging="72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ind w:left="0" w:right="0" w:hanging="720"/>
        <w:jc w:val="left"/>
        <w:rPr/>
      </w:pPr>
      <w:r>
        <w:rPr>
          <w:color w:val="000000"/>
        </w:rPr>
        <w:t>☐    </w:t>
      </w:r>
      <w:r>
        <w:rPr>
          <w:rFonts w:ascii="Times New Roman;serif" w:hAnsi="Times New Roman;serif"/>
          <w:b w:val="false"/>
          <w:color w:val="000000"/>
          <w:sz w:val="20"/>
        </w:rPr>
        <w:t>Pre-commencement communications pursuant to Rule 13e-4(c) under the Exchange Act (17 CFR 240.13e-4(c))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73" w:type="dxa"/>
        <w:jc w:val="center"/>
        <w:tblInd w:w="0" w:type="dxa"/>
        <w:tblLayout w:type="fixed"/>
        <w:tblCellMar>
          <w:top w:w="28" w:type="dxa"/>
          <w:left w:w="28" w:type="dxa"/>
          <w:bottom w:w="28" w:type="dxa"/>
          <w:right w:w="28" w:type="dxa"/>
        </w:tblCellMar>
      </w:tblPr>
      <w:tblGrid>
        <w:gridCol w:w="1284"/>
        <w:gridCol w:w="1128"/>
        <w:gridCol w:w="1142"/>
        <w:gridCol w:w="564"/>
        <w:gridCol w:w="564"/>
        <w:gridCol w:w="566"/>
        <w:gridCol w:w="1118"/>
        <w:gridCol w:w="1118"/>
        <w:gridCol w:w="1589"/>
      </w:tblGrid>
      <w:tr>
        <w:trPr/>
        <w:tc>
          <w:tcPr>
            <w:tcW w:w="128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 par value $0.01 per share</w:t>
            </w:r>
          </w:p>
        </w:tc>
        <w:tc>
          <w:tcPr>
            <w:tcW w:w="16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HUBB</w:t>
            </w:r>
          </w:p>
        </w:tc>
        <w:tc>
          <w:tcPr>
            <w:tcW w:w="382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40" w:after="283"/>
        <w:jc w:val="left"/>
        <w:rPr/>
      </w:pPr>
      <w:r>
        <w:rPr/>
      </w:r>
    </w:p>
    <w:tbl>
      <w:tblPr>
        <w:tblW w:w="10205" w:type="dxa"/>
        <w:jc w:val="center"/>
        <w:tblInd w:w="0" w:type="dxa"/>
        <w:tblLayout w:type="fixed"/>
        <w:tblCellMar>
          <w:top w:w="28" w:type="dxa"/>
          <w:left w:w="28" w:type="dxa"/>
          <w:bottom w:w="28" w:type="dxa"/>
          <w:right w:w="28" w:type="dxa"/>
        </w:tblCellMar>
      </w:tblPr>
      <w:tblGrid>
        <w:gridCol w:w="1051"/>
        <w:gridCol w:w="635"/>
        <w:gridCol w:w="635"/>
        <w:gridCol w:w="635"/>
        <w:gridCol w:w="635"/>
        <w:gridCol w:w="635"/>
        <w:gridCol w:w="635"/>
        <w:gridCol w:w="635"/>
        <w:gridCol w:w="635"/>
        <w:gridCol w:w="635"/>
        <w:gridCol w:w="635"/>
        <w:gridCol w:w="635"/>
        <w:gridCol w:w="635"/>
        <w:gridCol w:w="635"/>
        <w:gridCol w:w="899"/>
      </w:tblGrid>
      <w:tr>
        <w:trPr/>
        <w:tc>
          <w:tcPr>
            <w:tcW w:w="105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2321" w:type="dxa"/>
            <w:gridSpan w:val="3"/>
            <w:tcBorders/>
            <w:tcMar>
              <w:top w:w="0" w:type="dxa"/>
              <w:left w:w="0" w:type="dxa"/>
              <w:bottom w:w="0" w:type="dxa"/>
              <w:right w:w="0" w:type="dxa"/>
            </w:tcMar>
            <w:vAlign w:val="center"/>
          </w:tcPr>
          <w:p>
            <w:pPr>
              <w:pStyle w:val="TableContents"/>
              <w:bidi w:val="0"/>
              <w:spacing w:lineRule="auto" w:line="417" w:before="0" w:after="12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1905" w:type="dxa"/>
            <w:gridSpan w:val="3"/>
            <w:tcBorders/>
            <w:tcMar>
              <w:top w:w="0" w:type="dxa"/>
              <w:left w:w="0" w:type="dxa"/>
              <w:bottom w:w="0" w:type="dxa"/>
              <w:right w:w="0" w:type="dxa"/>
            </w:tcMar>
            <w:vAlign w:val="center"/>
          </w:tcPr>
          <w:p>
            <w:pPr>
              <w:pStyle w:val="TableContents"/>
              <w:bidi w:val="0"/>
              <w:spacing w:lineRule="auto" w:line="417" w:before="0" w:after="120"/>
              <w:jc w:val="left"/>
              <w:rPr>
                <w:color w:val="000000"/>
              </w:rPr>
            </w:pPr>
            <w:r>
              <w:rPr>
                <w:color w:val="000000"/>
              </w:rPr>
              <w:t>☐</w:t>
            </w:r>
          </w:p>
        </w:tc>
        <w:tc>
          <w:tcPr>
            <w:tcW w:w="38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28, 2026, Hubbell Incorporated (the “Company”) issued a press release announcing results for the second quarter and six months ended June 30, 2026.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full text of the press release issued in connection with the announcement is furnished as Exhibit 99.1 to this Current Report on Form 8-K and hereby incorporated in this Item 2.02 by reference. The information in this Item 2.02,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INFORMATION CONCERNING FORWARD-LOOKING STATEMENTS — Certain of the statements contained in this report and the exhibit attached hereto, including, without limitation, statements as to management’s good faith expectations and belief are forward-looking statements. Forward-looking statements are made based upon management’s expectations and belief concerning future developments and their potential effect upon the Company. There can be no assurance that future developments will be in accordance with management’s expectations or that the effect of future developments on the Company will be those anticipated by management. Investors should consider this cautionary statement as well as the “Risk Factors” and other factors described in our periodic reports filed with the Securities and Exchange Commission when evaluating our forward-looking statements.</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08"/>
        <w:gridCol w:w="358"/>
        <w:gridCol w:w="360"/>
        <w:gridCol w:w="2655"/>
        <w:gridCol w:w="2655"/>
        <w:gridCol w:w="3769"/>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EXHIBIT NO.</w:t>
            </w:r>
          </w:p>
        </w:tc>
        <w:tc>
          <w:tcPr>
            <w:tcW w:w="9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DOCUMENT DESCRIPTION</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_07282026.htm">
              <w:r>
                <w:rPr>
                  <w:rStyle w:val="InternetLink"/>
                  <w:rFonts w:ascii="Times New Roman;serif" w:hAnsi="Times New Roman;serif"/>
                  <w:b w:val="false"/>
                  <w:color w:val="0000FF"/>
                  <w:sz w:val="20"/>
                  <w:u w:val="single"/>
                </w:rPr>
                <w:t>99.1</w:t>
              </w:r>
            </w:hyperlink>
            <w:r>
              <w:rPr>
                <w:rFonts w:ascii="Times New Roman;serif" w:hAnsi="Times New Roman;serif"/>
                <w:b w:val="false"/>
                <w:color w:val="000000"/>
                <w:sz w:val="20"/>
              </w:rPr>
              <w:t>*</w:t>
            </w:r>
          </w:p>
        </w:tc>
        <w:tc>
          <w:tcPr>
            <w:tcW w:w="9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_07282026.htm">
              <w:r>
                <w:rPr>
                  <w:rStyle w:val="InternetLink"/>
                  <w:rFonts w:ascii="Times New Roman;serif" w:hAnsi="Times New Roman;serif"/>
                  <w:b w:val="false"/>
                  <w:color w:val="000080"/>
                  <w:sz w:val="20"/>
                  <w:u w:val="single"/>
                </w:rPr>
                <w:t xml:space="preserve">Press Release dated </w:t>
              </w:r>
            </w:hyperlink>
            <w:hyperlink w:anchor="exhibit991_07282026.htm">
              <w:r>
                <w:rPr>
                  <w:rStyle w:val="InternetLink"/>
                  <w:rFonts w:ascii="Times New Roman;serif" w:hAnsi="Times New Roman;serif"/>
                  <w:b w:val="false"/>
                  <w:color w:val="000080"/>
                  <w:sz w:val="20"/>
                  <w:u w:val="single"/>
                </w:rPr>
                <w:t>July</w:t>
              </w:r>
            </w:hyperlink>
            <w:hyperlink w:anchor="exhibit991_07282026.htm">
              <w:r>
                <w:rPr>
                  <w:rStyle w:val="InternetLink"/>
                  <w:rFonts w:ascii="Times New Roman;serif" w:hAnsi="Times New Roman;serif"/>
                  <w:b w:val="false"/>
                  <w:color w:val="000080"/>
                  <w:sz w:val="20"/>
                  <w:u w:val="single"/>
                </w:rPr>
                <w:t xml:space="preserve"> </w:t>
              </w:r>
            </w:hyperlink>
            <w:hyperlink w:anchor="exhibit991_07282026.htm">
              <w:r>
                <w:rPr>
                  <w:rStyle w:val="InternetLink"/>
                  <w:rFonts w:ascii="Times New Roman;serif" w:hAnsi="Times New Roman;serif"/>
                  <w:b w:val="false"/>
                  <w:color w:val="000080"/>
                  <w:sz w:val="20"/>
                  <w:u w:val="single"/>
                </w:rPr>
                <w:t>28</w:t>
              </w:r>
            </w:hyperlink>
            <w:hyperlink w:anchor="exhibit991_07282026.htm">
              <w:r>
                <w:rPr>
                  <w:rStyle w:val="InternetLink"/>
                  <w:rFonts w:ascii="Times New Roman;serif" w:hAnsi="Times New Roman;serif"/>
                  <w:b w:val="false"/>
                  <w:color w:val="000080"/>
                  <w:sz w:val="20"/>
                  <w:u w:val="single"/>
                </w:rPr>
                <w:t xml:space="preserve">, 2026 pertaining to the financial results of the Company for the </w:t>
              </w:r>
            </w:hyperlink>
            <w:hyperlink w:anchor="exhibit991_07282026.htm">
              <w:r>
                <w:rPr>
                  <w:rStyle w:val="InternetLink"/>
                  <w:rFonts w:ascii="Times New Roman;serif" w:hAnsi="Times New Roman;serif"/>
                  <w:b w:val="false"/>
                  <w:color w:val="000080"/>
                  <w:sz w:val="20"/>
                  <w:u w:val="single"/>
                </w:rPr>
                <w:t>sec</w:t>
              </w:r>
            </w:hyperlink>
            <w:hyperlink w:anchor="exhibit991_07282026.htm">
              <w:r>
                <w:rPr>
                  <w:rStyle w:val="InternetLink"/>
                  <w:rFonts w:ascii="Times New Roman;serif" w:hAnsi="Times New Roman;serif"/>
                  <w:b w:val="false"/>
                  <w:color w:val="000080"/>
                  <w:sz w:val="20"/>
                  <w:u w:val="single"/>
                </w:rPr>
                <w:t>ond</w:t>
              </w:r>
            </w:hyperlink>
            <w:hyperlink w:anchor="exhibit991_07282026.htm">
              <w:r>
                <w:rPr>
                  <w:rStyle w:val="InternetLink"/>
                  <w:rFonts w:ascii="Times New Roman;serif" w:hAnsi="Times New Roman;serif"/>
                  <w:b w:val="false"/>
                  <w:color w:val="000080"/>
                  <w:sz w:val="20"/>
                  <w:u w:val="single"/>
                </w:rPr>
                <w:t xml:space="preserve"> quarter and </w:t>
              </w:r>
            </w:hyperlink>
            <w:hyperlink w:anchor="exhibit991_07282026.htm">
              <w:r>
                <w:rPr>
                  <w:rStyle w:val="InternetLink"/>
                  <w:rFonts w:ascii="Times New Roman;serif" w:hAnsi="Times New Roman;serif"/>
                  <w:b w:val="false"/>
                  <w:color w:val="000080"/>
                  <w:sz w:val="20"/>
                  <w:u w:val="single"/>
                </w:rPr>
                <w:t>s</w:t>
              </w:r>
            </w:hyperlink>
            <w:hyperlink w:anchor="exhibit991_07282026.htm">
              <w:r>
                <w:rPr>
                  <w:rStyle w:val="InternetLink"/>
                  <w:rFonts w:ascii="Times New Roman;serif" w:hAnsi="Times New Roman;serif"/>
                  <w:b w:val="false"/>
                  <w:color w:val="000080"/>
                  <w:sz w:val="20"/>
                  <w:u w:val="single"/>
                </w:rPr>
                <w:t>ix</w:t>
              </w:r>
            </w:hyperlink>
            <w:hyperlink w:anchor="exhibit991_07282026.htm">
              <w:r>
                <w:rPr>
                  <w:rStyle w:val="InternetLink"/>
                  <w:rFonts w:ascii="Times New Roman;serif" w:hAnsi="Times New Roman;serif"/>
                  <w:b w:val="false"/>
                  <w:color w:val="000080"/>
                  <w:sz w:val="20"/>
                  <w:u w:val="single"/>
                </w:rPr>
                <w:t xml:space="preserve"> months ended </w:t>
              </w:r>
            </w:hyperlink>
            <w:hyperlink w:anchor="exhibit991_07282026.htm">
              <w:r>
                <w:rPr>
                  <w:rStyle w:val="InternetLink"/>
                  <w:rFonts w:ascii="Times New Roman;serif" w:hAnsi="Times New Roman;serif"/>
                  <w:b w:val="false"/>
                  <w:color w:val="000080"/>
                  <w:sz w:val="20"/>
                  <w:u w:val="single"/>
                </w:rPr>
                <w:t>June</w:t>
              </w:r>
            </w:hyperlink>
            <w:hyperlink w:anchor="exhibit991_07282026.htm">
              <w:r>
                <w:rPr>
                  <w:rStyle w:val="InternetLink"/>
                  <w:rFonts w:ascii="Times New Roman;serif" w:hAnsi="Times New Roman;serif"/>
                  <w:b w:val="false"/>
                  <w:color w:val="000080"/>
                  <w:sz w:val="20"/>
                  <w:u w:val="single"/>
                </w:rPr>
                <w:t xml:space="preserve"> 3</w:t>
              </w:r>
            </w:hyperlink>
            <w:hyperlink w:anchor="exhibit991_07282026.htm">
              <w:r>
                <w:rPr>
                  <w:rStyle w:val="InternetLink"/>
                  <w:rFonts w:ascii="Times New Roman;serif" w:hAnsi="Times New Roman;serif"/>
                  <w:b w:val="false"/>
                  <w:color w:val="000080"/>
                  <w:sz w:val="20"/>
                  <w:u w:val="single"/>
                </w:rPr>
                <w:t>0</w:t>
              </w:r>
            </w:hyperlink>
            <w:hyperlink w:anchor="exhibit991_07282026.htm">
              <w:r>
                <w:rPr>
                  <w:rStyle w:val="InternetLink"/>
                  <w:rFonts w:ascii="Times New Roman;serif" w:hAnsi="Times New Roman;serif"/>
                  <w:b w:val="false"/>
                  <w:color w:val="000080"/>
                  <w:sz w:val="20"/>
                  <w:u w:val="single"/>
                </w:rPr>
                <w:t>, 2026.</w:t>
              </w:r>
            </w:hyperlink>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4454" w:type="dxa"/>
        <w:jc w:val="left"/>
        <w:tblInd w:w="0" w:type="dxa"/>
        <w:tblLayout w:type="fixed"/>
        <w:tblCellMar>
          <w:top w:w="28" w:type="dxa"/>
          <w:left w:w="28" w:type="dxa"/>
          <w:bottom w:w="28" w:type="dxa"/>
          <w:right w:w="28" w:type="dxa"/>
        </w:tblCellMar>
      </w:tblPr>
      <w:tblGrid>
        <w:gridCol w:w="124"/>
        <w:gridCol w:w="109"/>
        <w:gridCol w:w="109"/>
        <w:gridCol w:w="272"/>
        <w:gridCol w:w="272"/>
        <w:gridCol w:w="272"/>
        <w:gridCol w:w="334"/>
        <w:gridCol w:w="334"/>
        <w:gridCol w:w="334"/>
        <w:gridCol w:w="663"/>
        <w:gridCol w:w="663"/>
        <w:gridCol w:w="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HUBBELL INCORPORATED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 Del Nero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 Del Nero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Vice President, Controller </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28,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0"/>
        <w:jc w:val="left"/>
        <w:rPr/>
      </w:pPr>
      <w:r>
        <w:rPr/>
        <w:drawing>
          <wp:inline distT="0" distB="0" distL="0" distR="0">
            <wp:extent cx="1457325" cy="5905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457325" cy="590550"/>
                    </a:xfrm>
                    <a:prstGeom prst="rect">
                      <a:avLst/>
                    </a:prstGeom>
                  </pic:spPr>
                </pic:pic>
              </a:graphicData>
            </a:graphic>
          </wp:inline>
        </w:drawing>
      </w:r>
      <w:r>
        <w:rPr>
          <w:color w:val="000000"/>
        </w:rPr>
        <w:t>    </w:t>
      </w:r>
    </w:p>
    <w:p>
      <w:pPr>
        <w:pStyle w:val="TextBody"/>
        <w:bidi w:val="0"/>
        <w:spacing w:lineRule="auto" w:line="288" w:before="0" w:after="0"/>
        <w:jc w:val="left"/>
        <w:rPr>
          <w:color w:val="000000"/>
        </w:rPr>
      </w:pPr>
      <w:r>
        <w:rPr>
          <w:color w:val="000000"/>
        </w:rPr>
        <w:t> </w:t>
      </w:r>
    </w:p>
    <w:tbl>
      <w:tblPr>
        <w:tblW w:w="4960" w:type="dxa"/>
        <w:jc w:val="left"/>
        <w:tblInd w:w="0" w:type="dxa"/>
        <w:tblLayout w:type="fixed"/>
        <w:tblCellMar>
          <w:top w:w="28" w:type="dxa"/>
          <w:left w:w="28" w:type="dxa"/>
          <w:bottom w:w="28" w:type="dxa"/>
          <w:right w:w="28" w:type="dxa"/>
        </w:tblCellMar>
      </w:tblPr>
      <w:tblGrid>
        <w:gridCol w:w="228"/>
        <w:gridCol w:w="200"/>
        <w:gridCol w:w="202"/>
        <w:gridCol w:w="464"/>
        <w:gridCol w:w="464"/>
        <w:gridCol w:w="467"/>
        <w:gridCol w:w="109"/>
        <w:gridCol w:w="109"/>
        <w:gridCol w:w="109"/>
        <w:gridCol w:w="744"/>
        <w:gridCol w:w="744"/>
        <w:gridCol w:w="748"/>
        <w:gridCol w:w="109"/>
        <w:gridCol w:w="109"/>
        <w:gridCol w:w="154"/>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Date:</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July 28,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NEWS RELEASE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Hubbell Incorporated</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40 Waterview Drive</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Shelton, CT 06484</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475-882-4000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HUBBELL REPORTS SECOND QUARTER 2026 RESULTS </w:t>
      </w:r>
    </w:p>
    <w:p>
      <w:pPr>
        <w:pStyle w:val="TextBody"/>
        <w:bidi w:val="0"/>
        <w:spacing w:lineRule="auto" w:line="288" w:before="240" w:after="283"/>
        <w:ind w:left="0" w:right="0" w:hanging="450"/>
        <w:jc w:val="left"/>
        <w:rPr/>
      </w:pPr>
      <w:r>
        <w:rPr>
          <w:color w:val="000000"/>
        </w:rPr>
        <w:t>•</w:t>
      </w:r>
      <w:r>
        <w:rPr>
          <w:rFonts w:ascii="Times New Roman;serif" w:hAnsi="Times New Roman;serif"/>
          <w:b w:val="false"/>
          <w:color w:val="000000"/>
          <w:sz w:val="24"/>
        </w:rPr>
        <w:t>Q2 diluted EPS of $4.52; adjusted diluted EPS of $5.52 (up 12% y/y)</w:t>
      </w:r>
    </w:p>
    <w:p>
      <w:pPr>
        <w:pStyle w:val="TextBody"/>
        <w:bidi w:val="0"/>
        <w:spacing w:lineRule="auto" w:line="288" w:before="240" w:after="283"/>
        <w:ind w:left="0" w:right="0" w:hanging="450"/>
        <w:jc w:val="left"/>
        <w:rPr/>
      </w:pPr>
      <w:r>
        <w:rPr>
          <w:color w:val="000000"/>
        </w:rPr>
        <w:t>•</w:t>
      </w:r>
      <w:r>
        <w:rPr>
          <w:rFonts w:ascii="Times New Roman;serif" w:hAnsi="Times New Roman;serif"/>
          <w:b w:val="false"/>
          <w:color w:val="000000"/>
          <w:sz w:val="24"/>
        </w:rPr>
        <w:t>Q2 net sales +15% (organ</w:t>
      </w:r>
      <w:r>
        <w:rPr>
          <w:rFonts w:ascii="Times New Roman;serif" w:hAnsi="Times New Roman;serif"/>
          <w:b w:val="false"/>
          <w:color w:val="000000"/>
          <w:sz w:val="24"/>
          <w:shd w:fill="FFFFFF" w:val="clear"/>
        </w:rPr>
        <w:t>ic +10%</w:t>
      </w:r>
      <w:r>
        <w:rPr>
          <w:rFonts w:ascii="Times New Roman;serif" w:hAnsi="Times New Roman;serif"/>
          <w:b w:val="false"/>
          <w:color w:val="000000"/>
          <w:sz w:val="24"/>
        </w:rPr>
        <w:t>; M&amp;A +</w:t>
      </w:r>
      <w:r>
        <w:rPr>
          <w:rFonts w:ascii="Times New Roman;serif" w:hAnsi="Times New Roman;serif"/>
          <w:b w:val="false"/>
          <w:color w:val="000000"/>
          <w:sz w:val="24"/>
          <w:shd w:fill="FFFFFF" w:val="clear"/>
        </w:rPr>
        <w:t>5%)</w:t>
      </w:r>
    </w:p>
    <w:p>
      <w:pPr>
        <w:pStyle w:val="TextBody"/>
        <w:bidi w:val="0"/>
        <w:spacing w:lineRule="auto" w:line="288" w:before="240" w:after="283"/>
        <w:ind w:left="0" w:right="0" w:hanging="450"/>
        <w:jc w:val="left"/>
        <w:rPr/>
      </w:pPr>
      <w:r>
        <w:rPr>
          <w:color w:val="000000"/>
        </w:rPr>
        <w:t>•</w:t>
      </w:r>
      <w:r>
        <w:rPr>
          <w:rFonts w:ascii="Times New Roman;serif" w:hAnsi="Times New Roman;serif"/>
          <w:b w:val="false"/>
          <w:color w:val="000000"/>
          <w:sz w:val="24"/>
        </w:rPr>
        <w:t>Q2 operating margin 20.4%; adjusted operating margin 23.9% (down 50 bps y/y)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4"/>
        </w:rPr>
        <w:t>FY 2026 diluted EPS expected range of $17.25-$17.55; raising adj. diluted EPS to $20.25-$20.55</w:t>
      </w:r>
    </w:p>
    <w:p>
      <w:pPr>
        <w:pStyle w:val="TextBody"/>
        <w:bidi w:val="0"/>
        <w:spacing w:lineRule="auto" w:line="417" w:before="240" w:after="283"/>
        <w:jc w:val="both"/>
        <w:rPr>
          <w:rFonts w:ascii="Times New Roman;serif" w:hAnsi="Times New Roman;serif"/>
          <w:b w:val="false"/>
          <w:color w:val="000000"/>
          <w:sz w:val="24"/>
        </w:rPr>
      </w:pPr>
      <w:r>
        <w:rPr>
          <w:rFonts w:ascii="Times New Roman;serif" w:hAnsi="Times New Roman;serif"/>
          <w:b w:val="false"/>
          <w:color w:val="000000"/>
          <w:sz w:val="24"/>
        </w:rPr>
        <w:t>SHELTON, CT. (July 28, 2026) – Hubbell Incorporated (NYSE: HUBB) today reported operating results for the second quarter ended June 30, 2026.</w:t>
      </w:r>
    </w:p>
    <w:p>
      <w:pPr>
        <w:pStyle w:val="TextBody"/>
        <w:bidi w:val="0"/>
        <w:spacing w:lineRule="auto" w:line="417"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"Hubbell delivered strong performance in the second quarter, with double digit growth in sales, adjusted operating profit and adjusted earnings per share" said Gerben Bakker, Chairman, President and CEO. </w:t>
      </w:r>
    </w:p>
    <w:p>
      <w:pPr>
        <w:pStyle w:val="TextBody"/>
        <w:bidi w:val="0"/>
        <w:spacing w:lineRule="auto" w:line="417" w:before="240" w:after="283"/>
        <w:jc w:val="both"/>
        <w:rPr>
          <w:rFonts w:ascii="Times New Roman;serif" w:hAnsi="Times New Roman;serif"/>
          <w:b w:val="false"/>
          <w:color w:val="000000"/>
          <w:sz w:val="24"/>
        </w:rPr>
      </w:pPr>
      <w:r>
        <w:rPr>
          <w:rFonts w:ascii="Times New Roman;serif" w:hAnsi="Times New Roman;serif"/>
          <w:b w:val="false"/>
          <w:color w:val="000000"/>
          <w:sz w:val="24"/>
        </w:rPr>
        <w:t>Mr. Bakker continued, "Our strong positions in attractive end markets, as well as continued execution on our strategy, are demonstrated by our strong second quarter and first half financial results. Megatrends in grid modernization, load growth and datacenter investment drove 10% organic growth in the second quarter, with visible demand strength across utility and electrical markets. Operationally, we are managing inflation effectively through price and productivity actions while investing in capacity expansion to serve our customers in high growth areas and deploying capital to further upgrade our portfolio in high growth and margin areas within our core."</w:t>
      </w:r>
    </w:p>
    <w:p>
      <w:pPr>
        <w:pStyle w:val="TextBody"/>
        <w:bidi w:val="0"/>
        <w:spacing w:lineRule="auto" w:line="417" w:before="240" w:after="283"/>
        <w:jc w:val="both"/>
        <w:rPr>
          <w:rFonts w:ascii="Times New Roman;serif" w:hAnsi="Times New Roman;serif"/>
          <w:b w:val="false"/>
          <w:color w:val="000000"/>
          <w:sz w:val="24"/>
        </w:rPr>
      </w:pPr>
      <w:r>
        <w:rPr>
          <w:rFonts w:ascii="Times New Roman;serif" w:hAnsi="Times New Roman;serif"/>
          <w:b w:val="false"/>
          <w:color w:val="000000"/>
          <w:sz w:val="24"/>
        </w:rPr>
        <w:t>Mr. Bakker concluded, "Strong first half order trends provide visibility to our second half outlook, and we are increasing our full year outlook to reflect double digit growth in organic sales, adjusted operating profit and adjusted earnings per share at the midpoint of our range."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417" w:before="240" w:after="283"/>
        <w:jc w:val="both"/>
        <w:rPr>
          <w:rFonts w:ascii="Times New Roman;serif" w:hAnsi="Times New Roman;serif"/>
          <w:b w:val="false"/>
          <w:color w:val="000000"/>
          <w:sz w:val="24"/>
        </w:rPr>
      </w:pPr>
      <w:r>
        <w:rPr>
          <w:rFonts w:ascii="Times New Roman;serif" w:hAnsi="Times New Roman;serif"/>
          <w:b w:val="false"/>
          <w:color w:val="000000"/>
          <w:sz w:val="24"/>
        </w:rPr>
        <w:t>Certain terms used in this release, including “net debt”, “free cash flow”, “organic net sales”, “organic net sales growth”, “restructuring-related costs”, “Adjusted EBITDA”, and certain other “adjusted” measures, are defined under the section entitled “Non-GAAP Definitions.” See page 11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SECOND QUARTER FINANCIAL HIGHLIGHTS</w:t>
      </w:r>
    </w:p>
    <w:p>
      <w:pPr>
        <w:pStyle w:val="TextBody"/>
        <w:bidi w:val="0"/>
        <w:spacing w:lineRule="auto" w:line="417" w:before="240" w:after="283"/>
        <w:jc w:val="both"/>
        <w:rPr>
          <w:rFonts w:ascii="Times New Roman;serif" w:hAnsi="Times New Roman;serif"/>
          <w:b w:val="false"/>
          <w:color w:val="000000"/>
          <w:sz w:val="24"/>
        </w:rPr>
      </w:pPr>
      <w:r>
        <w:rPr>
          <w:rFonts w:ascii="Times New Roman;serif" w:hAnsi="Times New Roman;serif"/>
          <w:b w:val="false"/>
          <w:color w:val="000000"/>
          <w:sz w:val="24"/>
        </w:rPr>
        <w:t>The comments and year-over-year comparisons in this segment review are based on second quarter results in 2026 and 2025.</w:t>
      </w:r>
    </w:p>
    <w:p>
      <w:pPr>
        <w:pStyle w:val="TextBody"/>
        <w:bidi w:val="0"/>
        <w:spacing w:lineRule="auto" w:line="417" w:before="240" w:after="283"/>
        <w:jc w:val="both"/>
        <w:rPr/>
      </w:pPr>
      <w:r>
        <w:rPr>
          <w:rFonts w:ascii="Times New Roman;serif" w:hAnsi="Times New Roman;serif"/>
          <w:b w:val="false"/>
          <w:color w:val="000000"/>
          <w:sz w:val="24"/>
        </w:rPr>
        <w:t>Utility Solutions segment net sales in the second quarter of 2026 increased 10% to $1,026 million compared to $936 million reported in the second quarter of 2025. Organic net sales increased approximately</w:t>
      </w:r>
      <w:r>
        <w:rPr>
          <w:color w:val="000000"/>
          <w:shd w:fill="FFFFFF" w:val="clear"/>
        </w:rPr>
        <w:t xml:space="preserve"> </w:t>
      </w:r>
      <w:r>
        <w:rPr>
          <w:rFonts w:ascii="Times New Roman;serif" w:hAnsi="Times New Roman;serif"/>
          <w:b w:val="false"/>
          <w:color w:val="000000"/>
          <w:sz w:val="24"/>
          <w:shd w:fill="FFFFFF" w:val="clear"/>
        </w:rPr>
        <w:t xml:space="preserve">6% </w:t>
      </w:r>
      <w:r>
        <w:rPr>
          <w:rFonts w:ascii="Times New Roman;serif" w:hAnsi="Times New Roman;serif"/>
          <w:b w:val="false"/>
          <w:color w:val="000000"/>
          <w:sz w:val="24"/>
        </w:rPr>
        <w:t xml:space="preserve">in the quarter compared to the second quarter 2025. Grid Infrastructure net sales increased approximately 12% and Grid Automation net sales </w:t>
      </w:r>
      <w:r>
        <w:rPr>
          <w:rFonts w:ascii="Times New Roman;serif" w:hAnsi="Times New Roman;serif"/>
          <w:b w:val="false"/>
          <w:color w:val="000000"/>
          <w:sz w:val="24"/>
          <w:shd w:fill="FFFFFF" w:val="clear"/>
        </w:rPr>
        <w:t xml:space="preserve">increased </w:t>
      </w:r>
      <w:r>
        <w:rPr>
          <w:rFonts w:ascii="Times New Roman;serif" w:hAnsi="Times New Roman;serif"/>
          <w:b w:val="false"/>
          <w:color w:val="000000"/>
          <w:sz w:val="24"/>
        </w:rPr>
        <w:t>approximately 1%. Segment operating income in the second quarter of 2026 was $234 million, or 22.8% of net sales, compared to $218 million, or 23.3% of net sales, in the same period of 2025. Adjusted operating income was $263 million, or 25.6% of net sales, in the second quarter of 2026</w:t>
      </w:r>
      <w:r>
        <w:rPr>
          <w:color w:val="000000"/>
        </w:rPr>
        <w:t xml:space="preserve"> </w:t>
      </w:r>
      <w:r>
        <w:rPr>
          <w:rFonts w:ascii="Times New Roman;serif" w:hAnsi="Times New Roman;serif"/>
          <w:b w:val="false"/>
          <w:color w:val="000000"/>
          <w:sz w:val="24"/>
        </w:rPr>
        <w:t>as compared to $239 million, or 25.5% of net sales, in the same period of the prior year. Changes in operating income and operating margin were primarily due to volume growth, the impact of acquisitions and favorable price and productivity, partially offset by higher cost inflation, raw material costs and tariffs.</w:t>
      </w:r>
    </w:p>
    <w:p>
      <w:pPr>
        <w:pStyle w:val="TextBody"/>
        <w:bidi w:val="0"/>
        <w:spacing w:lineRule="auto" w:line="417" w:before="240" w:after="283"/>
        <w:jc w:val="both"/>
        <w:rPr/>
      </w:pPr>
      <w:r>
        <w:rPr>
          <w:rFonts w:ascii="Times New Roman;serif" w:hAnsi="Times New Roman;serif"/>
          <w:b w:val="false"/>
          <w:color w:val="000000"/>
          <w:sz w:val="24"/>
        </w:rPr>
        <w:t>Electrical Solutions segment net sales in the second quarter of 2026 increased 25% to $686 million compared to $549 million reported in the second quarter of 2025. Organic net sales increased 18% in the quarter, while acquisitions added 6.5%. Segment operating income in the second quarter of 2026 was $115 million, or 16.7% of net sales, compared to $118 million, or 21.5% of net sales, in the same period of 2025. Adjusted operating income was $146 million, or 21.2% of net sales, in the second quarter of 2026</w:t>
      </w:r>
      <w:r>
        <w:rPr>
          <w:color w:val="000000"/>
        </w:rPr>
        <w:t xml:space="preserve"> </w:t>
      </w:r>
      <w:r>
        <w:rPr>
          <w:rFonts w:ascii="Times New Roman;serif" w:hAnsi="Times New Roman;serif"/>
          <w:b w:val="false"/>
          <w:color w:val="000000"/>
          <w:sz w:val="24"/>
        </w:rPr>
        <w:t>as compared to $124 million, or 22.5% of net sales, in the same period of the prior year. Changes in operating income and operating margin were driven primarily by volume growth, the impact of acquisitions and favorable price realization and productivity, partially offset by higher cost inflation, raw material costs, tariffs and restructuring investment.</w:t>
      </w:r>
    </w:p>
    <w:p>
      <w:pPr>
        <w:pStyle w:val="TextBody"/>
        <w:bidi w:val="0"/>
        <w:spacing w:lineRule="auto" w:line="417" w:before="240" w:after="283"/>
        <w:jc w:val="both"/>
        <w:rPr>
          <w:rFonts w:ascii="Times New Roman;serif" w:hAnsi="Times New Roman;serif"/>
          <w:b w:val="false"/>
          <w:color w:val="000000"/>
          <w:sz w:val="24"/>
        </w:rPr>
      </w:pPr>
      <w:r>
        <w:rPr>
          <w:rFonts w:ascii="Times New Roman;serif" w:hAnsi="Times New Roman;serif"/>
          <w:b w:val="false"/>
          <w:color w:val="000000"/>
          <w:sz w:val="24"/>
        </w:rPr>
        <w:t>Adjusted diluted EPS in the second quarter 2026 excluded $0.56 of amortization of acquisition-related intangible assets and $0.44 of transaction, integration, and separation costs. Adjusted diluted EPS in the second quarter 2025 excluded $0.36 of amortization of acquisition-related intangible assets and $0.01 of transaction, integration, &amp; separation costs.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417"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During the second quarter, the Company acquired all of the issued and outstanding equity of NSI Electrical Buyer, Inc. ("NSI Industries"), a leading provider of electrical fittings, connectors, components and wire management products, for approximately $3.0 billion, using net proceeds from borrowings under a new unsecured term loan facility in an aggregate principal amount of $900 million, the issuance of $1.9 billion aggregate principal amount of senior notes and issuances of commercial paper. </w:t>
      </w:r>
    </w:p>
    <w:p>
      <w:pPr>
        <w:pStyle w:val="TextBody"/>
        <w:bidi w:val="0"/>
        <w:spacing w:lineRule="auto" w:line="417" w:before="240" w:after="283"/>
        <w:jc w:val="both"/>
        <w:rPr>
          <w:rFonts w:ascii="Times New Roman;serif" w:hAnsi="Times New Roman;serif"/>
          <w:b w:val="false"/>
          <w:color w:val="000000"/>
          <w:sz w:val="24"/>
        </w:rPr>
      </w:pPr>
      <w:r>
        <w:rPr>
          <w:rFonts w:ascii="Times New Roman;serif" w:hAnsi="Times New Roman;serif"/>
          <w:b w:val="false"/>
          <w:color w:val="000000"/>
          <w:sz w:val="24"/>
        </w:rPr>
        <w:t>Net cash provided by operating activities was $250 million in the second quarter of 2026 versus net cash provided by operating activities of $261 million in the 2025 period. Free cash flow was $213 million in the second quarter of 2026 versus $221 million in the comparable period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417" w:before="0" w:after="240"/>
        <w:jc w:val="both"/>
        <w:rPr>
          <w:rFonts w:ascii="Times New Roman;serif" w:hAnsi="Times New Roman;serif"/>
          <w:b/>
          <w:color w:val="000000"/>
          <w:sz w:val="24"/>
          <w:u w:val="single"/>
        </w:rPr>
      </w:pPr>
      <w:r>
        <w:rPr>
          <w:rFonts w:ascii="Times New Roman;serif" w:hAnsi="Times New Roman;serif"/>
          <w:b/>
          <w:color w:val="000000"/>
          <w:sz w:val="24"/>
          <w:u w:val="single"/>
        </w:rPr>
        <w:t>SUMMARY &amp; OUTLOOK</w:t>
      </w:r>
    </w:p>
    <w:p>
      <w:pPr>
        <w:pStyle w:val="TextBody"/>
        <w:bidi w:val="0"/>
        <w:spacing w:lineRule="auto" w:line="417" w:before="0" w:after="240"/>
        <w:jc w:val="both"/>
        <w:rPr/>
      </w:pPr>
      <w:r>
        <w:rPr>
          <w:rFonts w:ascii="Times New Roman;serif" w:hAnsi="Times New Roman;serif"/>
          <w:b w:val="false"/>
          <w:color w:val="000000"/>
          <w:sz w:val="24"/>
        </w:rPr>
        <w:t>For the full year 2026, Hubbell anticipates total sales growth of 16-18% including organic sales growth of 9-11%. Hubbell expects 2026 GAAP diluted earnings per share in the range of $17.25 to $17.55 and adjusted diluted earnings per share (“Adjusted EPS”) in the range of $20.25 to $20.55. For the full year, Adjusted EPS excludes amortization of acquisition-related intangible assets, which the Company expects to be approximately</w:t>
      </w:r>
      <w:r>
        <w:rPr>
          <w:color w:val="000000"/>
          <w:shd w:fill="FFFFFF" w:val="clear"/>
        </w:rPr>
        <w:t xml:space="preserve"> </w:t>
      </w:r>
      <w:r>
        <w:rPr>
          <w:rFonts w:ascii="Times New Roman;serif" w:hAnsi="Times New Roman;serif"/>
          <w:b w:val="false"/>
          <w:color w:val="000000"/>
          <w:sz w:val="24"/>
          <w:shd w:fill="FFFFFF" w:val="clear"/>
        </w:rPr>
        <w:t>$2.50 per share,</w:t>
      </w:r>
      <w:r>
        <w:rPr>
          <w:color w:val="000000"/>
        </w:rPr>
        <w:t xml:space="preserve"> </w:t>
      </w:r>
      <w:r>
        <w:rPr>
          <w:rFonts w:ascii="Times New Roman;serif" w:hAnsi="Times New Roman;serif"/>
          <w:b w:val="false"/>
          <w:color w:val="000000"/>
          <w:sz w:val="24"/>
        </w:rPr>
        <w:t xml:space="preserve">and transaction, integration, and separation costs, which the Company expects to be approximately $0.50 per share. The Company believes Adjusted EPS is a useful measure of underlying performance in light of our acquisition strategy. </w:t>
      </w:r>
    </w:p>
    <w:p>
      <w:pPr>
        <w:pStyle w:val="TextBody"/>
        <w:bidi w:val="0"/>
        <w:spacing w:lineRule="auto" w:line="417"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diluted earnings per share and Adjusted EPS ranges are based on an adjusted tax rate of 22.0% to 22.5% and include approximately $20 million of anticipated restructuring and related investment. The Company expects full year 2026 free cash flow conversion of approximately 90% on adjusted net income. </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417" w:before="0" w:after="240"/>
        <w:jc w:val="both"/>
        <w:rPr>
          <w:rFonts w:ascii="Times New Roman;serif" w:hAnsi="Times New Roman;serif"/>
          <w:b/>
          <w:color w:val="000000"/>
          <w:sz w:val="24"/>
          <w:u w:val="single"/>
        </w:rPr>
      </w:pPr>
      <w:r>
        <w:rPr>
          <w:rFonts w:ascii="Times New Roman;serif" w:hAnsi="Times New Roman;serif"/>
          <w:b/>
          <w:color w:val="000000"/>
          <w:sz w:val="24"/>
          <w:u w:val="single"/>
        </w:rPr>
        <w:t>CONFERENCE CALL</w:t>
      </w:r>
    </w:p>
    <w:p>
      <w:pPr>
        <w:pStyle w:val="TextBody"/>
        <w:bidi w:val="0"/>
        <w:spacing w:lineRule="auto" w:line="417" w:before="0" w:after="240"/>
        <w:jc w:val="both"/>
        <w:rPr>
          <w:rFonts w:ascii="Times New Roman;serif" w:hAnsi="Times New Roman;serif"/>
          <w:b w:val="false"/>
          <w:color w:val="000000"/>
          <w:sz w:val="24"/>
        </w:rPr>
      </w:pPr>
      <w:r>
        <w:rPr>
          <w:rFonts w:ascii="Times New Roman;serif" w:hAnsi="Times New Roman;serif"/>
          <w:b w:val="false"/>
          <w:color w:val="000000"/>
          <w:sz w:val="24"/>
        </w:rPr>
        <w:t>Hubbell will conduct an earnings conference call to discuss its second quarter 2026 financial results today, July 28, 2026 at 10:00 a.m. ET. A live audio of the conference call will be available and can be accessed by visiting Hubbell's "Investor Relations - Events/Presentations" section of www.hubbell.com. Audio replays will also be available at the conclusion of the call by visiting www.hubbell.com and selecting "Investors" from the options at the bottom of the page and then "Events/Presentations" from the drop-down menu.</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417" w:before="0" w:after="240"/>
        <w:jc w:val="both"/>
        <w:rPr>
          <w:rFonts w:ascii="Times New Roman;serif" w:hAnsi="Times New Roman;serif"/>
          <w:b/>
          <w:color w:val="000000"/>
          <w:sz w:val="24"/>
          <w:u w:val="single"/>
        </w:rPr>
      </w:pPr>
      <w:r>
        <w:rPr>
          <w:rFonts w:ascii="Times New Roman;serif" w:hAnsi="Times New Roman;serif"/>
          <w:b/>
          <w:color w:val="000000"/>
          <w:sz w:val="24"/>
          <w:u w:val="single"/>
        </w:rPr>
        <w:t>FORWARD-LOOKING STATEMENTS</w:t>
      </w:r>
    </w:p>
    <w:p>
      <w:pPr>
        <w:pStyle w:val="TextBody"/>
        <w:bidi w:val="0"/>
        <w:spacing w:lineRule="auto" w:line="417"/>
        <w:jc w:val="both"/>
        <w:rPr>
          <w:rFonts w:ascii="Times New Roman;serif" w:hAnsi="Times New Roman;serif"/>
          <w:b w:val="false"/>
          <w:color w:val="000000"/>
          <w:sz w:val="24"/>
        </w:rPr>
      </w:pPr>
      <w:r>
        <w:rPr>
          <w:rFonts w:ascii="Times New Roman;serif" w:hAnsi="Times New Roman;serif"/>
          <w:b w:val="false"/>
          <w:color w:val="000000"/>
          <w:sz w:val="24"/>
        </w:rPr>
        <w:t xml:space="preserve">Certain statements contained herein may constitute forward-looking statements within the meaning of the Private Securities Litigation Reform Act of 1995. These statements generally relate to our expectations and beliefs regarding our financial results, condition and outlook, projections of future performance, anticipated growth and end markets, changes in operating results, market conditions and economic conditions, expected capital resources, liquidity, financial performance, pension funding and results of operations, plans, strategies, opportunities, developments and productivity initiatives, competitive positioning, and trends in particular markets or industries. In addition, statements related to our outlook for 2026 and beyond, and all statements set forth in the “Summary &amp; Outlook” section above, as well as other statements that are not strictly historic in nature, are forward-looking. These statements may be identified by the use of forward-looking words or phrases such as “believe”, “expect”, “anticipate”, “intend”, “depend”, “plan”, “estimated”, “predict”, “target”, “should”, “could”, “may”, “subject to”, “continues”, “growing”, “prospective”, “forecast”, “projected”, “purport”, “might”, “if”, “contemplate”, “potential”, “pending”, “goals”, “scheduled”, “will”, “will likely be”, and similar words and phrases. Such forward-looking statements are based on our current expectations and involve numerous assumptions, known and unknown risks, uncertainties and other factors which may cause actual and future performance or the Company’s achievements to be materially different from any future results, performance, or achievements expressed or implied by such forward-looking statements. Such factors include, but are not limited to: the impact of and substantial uncertainty regarding the duration of existing and newly announced trade tariffs, import quotas or other trade actions, restrictions or measures taken by the United States, China, Mexico, the United Kingdom, member states of the European Union, and other countries, including the recent and ongoing potential changes in U.S. trade policies, that may be made by the current or a future presidential administration and changes in trade policies in other countries made in response to changes in the U.S. trade policies; the timing of and eligibility for anticipated International Emergency Economic Power Act (IEEPA) tariff refunds; the general impact of inflation on our business, including the impact on raw materials costs, elevated interest rates and increased energy costs and our ability to implement and maintain pricing actions that we have taken to cover higher costs and protect our margin profile; economic and business conditions in particular industries, markets or geographic regions, as well the potential for macro-economic effects of the U.S. government federal deficit, and continued inflation, a significant economic slowdown, stagflation or recession; effects of unfavorable foreign currency exchange rates and the potential use of hedging instruments to hedge the exposure to fluctuating rates of foreign currency exchange on inventory purchases; supply chain disruptions and availability,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417"/>
        <w:jc w:val="both"/>
        <w:rPr>
          <w:rFonts w:ascii="Times New Roman;serif" w:hAnsi="Times New Roman;serif"/>
          <w:b w:val="false"/>
          <w:color w:val="000000"/>
          <w:sz w:val="24"/>
        </w:rPr>
      </w:pPr>
      <w:r>
        <w:rPr>
          <w:rFonts w:ascii="Times New Roman;serif" w:hAnsi="Times New Roman;serif"/>
          <w:b w:val="false"/>
          <w:color w:val="000000"/>
          <w:sz w:val="24"/>
        </w:rPr>
        <w:t xml:space="preserve">costs and quantity of raw materials, purchased components, energy and freight; changes in demand for our products, market conditions, product quality, or product availability adversely affecting sales levels; ability to effectively develop and introduce new products; changes in markets or competition adversely affecting realization of price increases; continued softness in the heavy industrial and residential markets of Electrical Solutions; failure to achieve projected levels of efficiencies, and maintain cost savings and cost reduction measures, including those expected as a result of our lean initiatives and strategic sourcing plans; failure to comply with import and export laws; changes relating to impairment of our goodwill and other intangible assets; inability to access capital markets or failure to maintain our credit ratings; changes in expected or future levels of operating cash flow, indebtedness and capital spending; regulatory issues, and extensive worldwide changes to the taxation of multinational enterprises, including global minimum tax rules under the Organisation for Economic Co-operation and Development’s Pillar Two initiative and potential modifications to corporate taxation by the U.S. government, including adjustments to tax rates, deduction limitations, cross-border tax provisions, and administrative guidance; a major disruption in one or more of our manufacturing or distribution facilities or headquarters, including the impact of plant consolidations and relocations; changes in our relationships with, or the financial condition or performance of, key distributors and other customers, agents or business partners which could adversely affect our results of operations; impact of productivity improvements on lead times, quality and delivery of product; anticipated future contributions and assumptions including increases in interest rates and changes in plan assets with respect to pensions and other retirement benefits, as well as pension withdrawal liabilities; adjustments to product warranty accruals in response to claims incurred, historical experiences and known costs; unexpected costs or charges, certain of which might be outside of our control; changes in strategy due to economic conditions or other conditions outside of our control affecting anticipated future global product sourcing levels; ability to carry out future acquisitions and strategic investments in our core businesses as well as the acquisition related costs; the ability to successfully manage and integrate acquired businesses, such as the acquisitions of NSI Electrical Buyer, Inc. (the NSI Industries business), Alliance USAcqCo 2, Inc. (the Ventev business), Nicor, Inc. (the Nicor business), and Power Rose Acquisition, Inc. (the DMC Power business), as well as the failure to realize expected synergies and benefits anticipated when we make an acquisition due to potential adverse reactions or changes to business or employee relationships resulting from completion of the transaction, competitive responses to the transaction, the possibility that the anticipated benefits of the transaction are not realized when expected or at all, including as a result of the impact of, or problems arising from, the integration of an acquired business, diversion of management’s attention from ongoing business operations and opportunities, and litigation relating to the transaction; the impact of certain divestitures, including the benefits and costs of the sale of the residential lighting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417"/>
        <w:jc w:val="both"/>
        <w:rPr>
          <w:rFonts w:ascii="Times New Roman;serif" w:hAnsi="Times New Roman;serif"/>
          <w:b w:val="false"/>
          <w:color w:val="000000"/>
          <w:sz w:val="24"/>
        </w:rPr>
      </w:pPr>
      <w:r>
        <w:rPr>
          <w:rFonts w:ascii="Times New Roman;serif" w:hAnsi="Times New Roman;serif"/>
          <w:b w:val="false"/>
          <w:color w:val="000000"/>
          <w:sz w:val="24"/>
        </w:rPr>
        <w:t>the ability to effectively implement Enterprise Resource Planning systems without disrupting operational and financial processes; the ability of government customers to meet their financial obligations; political unrest and military actions in foreign countries, including the conflicts in Ukraine and the Middle East and trade tensions with China, as well as the impact on world markets and energy supplies and prices resulting therefrom, including the U.S.-Israel-Iran conflict, which has had substantial effects on global trade, the energy markets and the financial markets; the impact of potential natural disasters or additional public health emergencies on our financial condition and results of operations; failure of information technology systems, cybersecurity breaches, cyber threats, malware, phishing attacks, break-ins and similar events resulting in unauthorized disclosure of confidential information or disruptions or damage to information technology systems that could cause interruptions to our operations or adversely affect our internal control over financial reporting; incurring significant and/or unexpected costs to avoid, manage, defend and litigate intellectual property matters; future repurchases of common stock under our common stock repurchase program; changes in accounting principles, interpretations, or estimates; failure to comply with any laws and regulations, including those related to data privacy and information security, environmental laws and those relating to conflict-free minerals; the outcome of environmental, legal and tax contingencies or costs compared to amounts provided for such contingencies, including contingencies or costs with respect to pension withdrawal liabilities; improper conduct by any of our employees, agents or business partners that damages our reputation or subjects us to civil or criminal liability; our ability to hire, retain and develop qualified personnel; and other factors described in our Securities and Exchange Commission filings, including in the “Business”, “Risk Factors”, “Management’s Discussion and Analysis of Financial Condition and Results of Operations”, “Forward-Looking Statements” and “Quantitative and Qualitative Disclosures about Market Risk” sections in our Annual Report on Form 10-K for the year ended December 31, 2025, and Quarterly Report on Form 10-Q for the quarter ended March 31, 2026. Any such forward-looking statements are not guarantees of future performance and actual results, developments and business decisions may differ from those contemplated by such forward-looking statements. The Company disclaims any duty to update any forward-looking statement, all of which are expressly qualified by the foregoing, other than as required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417" w:before="0" w:after="0"/>
        <w:jc w:val="left"/>
        <w:rPr>
          <w:rFonts w:ascii="Times New Roman;serif" w:hAnsi="Times New Roman;serif"/>
          <w:b/>
          <w:color w:val="000000"/>
          <w:sz w:val="24"/>
        </w:rPr>
      </w:pPr>
      <w:r>
        <w:rPr>
          <w:rFonts w:ascii="Times New Roman;serif" w:hAnsi="Times New Roman;serif"/>
          <w:b/>
          <w:color w:val="000000"/>
          <w:sz w:val="24"/>
        </w:rPr>
        <w:t>About the Company</w:t>
      </w:r>
    </w:p>
    <w:p>
      <w:pPr>
        <w:pStyle w:val="TextBody"/>
        <w:bidi w:val="0"/>
        <w:spacing w:lineRule="auto" w:line="417" w:before="240" w:after="283"/>
        <w:jc w:val="both"/>
        <w:rPr>
          <w:rFonts w:ascii="Times New Roman;serif" w:hAnsi="Times New Roman;serif"/>
          <w:b w:val="false"/>
          <w:color w:val="000000"/>
          <w:sz w:val="24"/>
        </w:rPr>
      </w:pPr>
      <w:r>
        <w:rPr>
          <w:rFonts w:ascii="Times New Roman;serif" w:hAnsi="Times New Roman;serif"/>
          <w:b w:val="false"/>
          <w:color w:val="000000"/>
          <w:sz w:val="24"/>
        </w:rPr>
        <w:t>Hubbell Incorporated is a leading manufacturer of utility and electrical solutions enabling customers to operate critical infrastructure safely, reliably and efficiently. With 2025 revenues of $5.8 billion, Hubbell solutions electrify economies and energize communities. The corporate headquarters is located in Shelton, CT.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Contact:    </w:t>
      </w:r>
    </w:p>
    <w:p>
      <w:pPr>
        <w:pStyle w:val="TextBody"/>
        <w:bidi w:val="0"/>
        <w:spacing w:lineRule="auto" w:line="288" w:before="0" w:after="0"/>
        <w:jc w:val="left"/>
        <w:rPr>
          <w:color w:val="000000"/>
        </w:rPr>
      </w:pPr>
      <w:r>
        <w:rPr>
          <w:color w:val="000000"/>
        </w:rPr>
        <w:t xml:space="preserve">     </w:t>
      </w:r>
    </w:p>
    <w:tbl>
      <w:tblPr>
        <w:tblW w:w="2190" w:type="dxa"/>
        <w:jc w:val="left"/>
        <w:tblInd w:w="0" w:type="dxa"/>
        <w:tblLayout w:type="fixed"/>
        <w:tblCellMar>
          <w:top w:w="28" w:type="dxa"/>
          <w:left w:w="28" w:type="dxa"/>
          <w:bottom w:w="28" w:type="dxa"/>
          <w:right w:w="28" w:type="dxa"/>
        </w:tblCellMar>
      </w:tblPr>
      <w:tblGrid>
        <w:gridCol w:w="701"/>
        <w:gridCol w:w="615"/>
        <w:gridCol w:w="874"/>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Dan Innamorato</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Hubbell Incorporated</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40 Waterview Drive</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P.O. Box 1000</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Shelton, CT 06484</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(475) 882-4000</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417" w:before="0" w:after="240"/>
        <w:jc w:val="both"/>
        <w:rPr>
          <w:rFonts w:ascii="Times New Roman;serif" w:hAnsi="Times New Roman;serif"/>
          <w:b/>
          <w:color w:val="000000"/>
          <w:sz w:val="24"/>
          <w:u w:val="single"/>
        </w:rPr>
      </w:pPr>
      <w:r>
        <w:rPr>
          <w:rFonts w:ascii="Times New Roman;serif" w:hAnsi="Times New Roman;serif"/>
          <w:b/>
          <w:color w:val="000000"/>
          <w:sz w:val="24"/>
          <w:u w:val="single"/>
        </w:rPr>
        <w:t>NON-GAAP DEFINITIONS</w:t>
      </w:r>
    </w:p>
    <w:p>
      <w:pPr>
        <w:pStyle w:val="TextBody"/>
        <w:bidi w:val="0"/>
        <w:spacing w:lineRule="auto" w:line="417" w:before="0" w:after="0"/>
        <w:jc w:val="both"/>
        <w:rPr>
          <w:rFonts w:ascii="Times New Roman;serif" w:hAnsi="Times New Roman;serif"/>
          <w:b w:val="false"/>
          <w:color w:val="000000"/>
          <w:sz w:val="24"/>
        </w:rPr>
      </w:pPr>
      <w:r>
        <w:rPr>
          <w:rFonts w:ascii="Times New Roman;serif" w:hAnsi="Times New Roman;serif"/>
          <w:b w:val="false"/>
          <w:color w:val="000000"/>
          <w:sz w:val="24"/>
        </w:rPr>
        <w:t>References to "adjusted" operating measures exclude the impact of certain costs, gains or losses. Management believes these adjusted operating measures provide useful information regarding our underlying performance from period to period and an understanding of our results of operations without regard to items we do not consider a component of our core operating performance. Adjusted operating measures are non-GAAP measures, and include adjusted operating income, adjusted operating margin, adjusted net income attributed to Hubbell Incorporated, adjusted net income available to common shareholders, adjusted earnings per diluted share, and Adjusted EBITDA. These non-GAAP measures exclude, where applicable:</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4"/>
        </w:rPr>
        <w:t xml:space="preserve">Amortization of all intangible assets associated with our business acquisitions, including inventory step-up amortization associated with those acquisitions. The intangible assets associated with our business acquisitions arise from the allocation of the purchase price using the acquisition method of accounting in accordance with Accounting Standards Codification 805, “Business Combinations.” These assets consist primarily of customer relationships, developed technology, trademarks and tradenames, and patents, as reported in Note 6—Goodwill and Other Intangible Assets, under the heading “Total Definite-Lived Intangibles,” within the Company’s audited Consolidated Financial Statements set forth in its Annual Report on Form 10-K for fiscal year ended December 31, 2025. The Company believes that the exclusion of these non-cash expenses because we believe it (i) enhances management’s and investors’ ability to analyze underlying business performance, (ii) facilitates comparisons of our financial results over multiple periods, and (iii) provides more relevant comparisons of our results with the results of other companies as the amortization expense associated with these assets may fluctuate significantly from period to period based on the timing, size, nature, and number of acquisitions. Although we exclude amortization of these acquired intangible assets and inventory step-up from our non-GAAP results, we believe that it is important for investors to understand that revenue generated, in part, from such intangibles is included within revenue in determining adjusted net income attributable to Hubbell Incorporated.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both"/>
        <w:rPr/>
      </w:pPr>
      <w:r>
        <w:rPr/>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4"/>
        </w:rPr>
        <w:t>Transaction, integration, and separation costs associated with our business acquisitions and divestitures. The effect that acquisitions and divestitures may have on our results can fluctuate significantly based on the timing, size, and number of transactions, and therefore result in significant volatility in the costs to complete transactions and integrate or separate the businesses. Transaction costs are primarily professional services and other fees incurred to complete the transactions recognized within operating income, as well as $7.2 million of bridge financing costs in connection with the transactions recognized within interest expense. Integration and separation costs are the internal and external incremental costs directly relating to these activities for the acquired or divested business. The acquisition and integration of NSI, DMC Power and the acquisitions and disposition completed by the Company in the fourth quarter of 2023 resulted in a significant increase in transaction, integration and separation costs. As a result, we believe excluding such costs relating to these transactions provides useful and more comparable information for investors to better assess our operating performance from period to period.</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4"/>
        </w:rPr>
        <w:t>Gains or losses on disposition of a business. The Company excludes these gains or losses because we believe they enhance management's and investors' ability to analyze underlying business performance and facilitates comparisons of our financial results over multiple periods. In the second quarter of 2025 the Company recognized a $0.4 million pre-tax loss on the disposition of a product line in the Electrical Solutions segment.</w:t>
      </w:r>
    </w:p>
    <w:p>
      <w:pPr>
        <w:pStyle w:val="TextBody"/>
        <w:bidi w:val="0"/>
        <w:spacing w:lineRule="auto" w:line="417" w:before="0" w:after="200"/>
        <w:ind w:left="0" w:right="0" w:hanging="360"/>
        <w:jc w:val="both"/>
        <w:rPr/>
      </w:pPr>
      <w:r>
        <w:rPr>
          <w:color w:val="000000"/>
        </w:rPr>
        <w:t>•</w:t>
      </w:r>
      <w:r>
        <w:rPr>
          <w:rFonts w:ascii="Times New Roman;serif" w:hAnsi="Times New Roman;serif"/>
          <w:b w:val="false"/>
          <w:color w:val="000000"/>
          <w:sz w:val="24"/>
        </w:rPr>
        <w:t xml:space="preserve">Income tax effects of the above adjustments, which are calculated using the statutory tax rate, taking into consideration the nature of the item and the relevant taxing jurisdiction, unless otherwise noted. </w:t>
      </w:r>
    </w:p>
    <w:p>
      <w:pPr>
        <w:pStyle w:val="TextBody"/>
        <w:bidi w:val="0"/>
        <w:spacing w:lineRule="auto" w:line="417" w:before="0" w:after="200"/>
        <w:jc w:val="both"/>
        <w:rPr/>
      </w:pPr>
      <w:r>
        <w:rPr>
          <w:rFonts w:ascii="Times New Roman;serif" w:hAnsi="Times New Roman;serif"/>
          <w:b w:val="false"/>
          <w:color w:val="000000"/>
          <w:sz w:val="24"/>
        </w:rPr>
        <w:t>Adjusted EBITDA is a non-GAAP measure that excludes the items noted above and also excludes the Other income (expense), net, Interest expense, net, and Provision for income taxes captions of the Condensed Consolidated Statement of Income, as well as depreciation and amortization expense</w:t>
      </w:r>
      <w:r>
        <w:rPr>
          <w:rFonts w:ascii="Times New Roman;serif" w:hAnsi="Times New Roman;serif"/>
          <w:b w:val="false"/>
          <w:color w:val="000000"/>
          <w:sz w:val="20"/>
        </w:rPr>
        <w:t>.</w:t>
      </w:r>
    </w:p>
    <w:p>
      <w:pPr>
        <w:pStyle w:val="TextBody"/>
        <w:bidi w:val="0"/>
        <w:spacing w:lineRule="auto" w:line="417" w:before="0" w:after="200"/>
        <w:jc w:val="both"/>
        <w:rPr>
          <w:rFonts w:ascii="Times New Roman;serif" w:hAnsi="Times New Roman;serif"/>
          <w:b w:val="false"/>
          <w:color w:val="000000"/>
          <w:sz w:val="24"/>
        </w:rPr>
      </w:pPr>
      <w:r>
        <w:rPr>
          <w:rFonts w:ascii="Times New Roman;serif" w:hAnsi="Times New Roman;serif"/>
          <w:b w:val="false"/>
          <w:color w:val="000000"/>
          <w:sz w:val="24"/>
        </w:rPr>
        <w:t>Net debt (defined as total debt less cash and investments) to total capital is a non-GAAP measure that we believe is a useful measure for evaluating the Company's financial leverage and the ability to meet its funding needs.</w:t>
      </w:r>
    </w:p>
    <w:p>
      <w:pPr>
        <w:pStyle w:val="TextBody"/>
        <w:bidi w:val="0"/>
        <w:spacing w:lineRule="auto" w:line="417" w:before="0" w:after="200"/>
        <w:jc w:val="both"/>
        <w:rPr>
          <w:rFonts w:ascii="Times New Roman;serif" w:hAnsi="Times New Roman;serif"/>
          <w:b w:val="false"/>
          <w:color w:val="000000"/>
          <w:sz w:val="24"/>
        </w:rPr>
      </w:pPr>
      <w:r>
        <w:rPr>
          <w:rFonts w:ascii="Times New Roman;serif" w:hAnsi="Times New Roman;serif"/>
          <w:b w:val="false"/>
          <w:color w:val="000000"/>
          <w:sz w:val="24"/>
        </w:rPr>
        <w:t xml:space="preserve">Free cash flow is a non-GAAP measure that we believe provides useful information regarding the Company's ability to generate cash without reliance on external financing. In addition, management uses free cash flow to evaluate the resources available for investments in the business, strategic acquisitions and further strengthening the balance sheet. </w:t>
      </w:r>
    </w:p>
    <w:p>
      <w:pPr>
        <w:pStyle w:val="TextBody"/>
        <w:bidi w:val="0"/>
        <w:spacing w:before="0" w:after="20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417" w:before="0" w:after="200"/>
        <w:jc w:val="both"/>
        <w:rPr>
          <w:rFonts w:ascii="Times New Roman;serif" w:hAnsi="Times New Roman;serif"/>
          <w:b w:val="false"/>
          <w:color w:val="000000"/>
          <w:sz w:val="24"/>
        </w:rPr>
      </w:pPr>
      <w:r>
        <w:rPr>
          <w:rFonts w:ascii="Times New Roman;serif" w:hAnsi="Times New Roman;serif"/>
          <w:b w:val="false"/>
          <w:color w:val="000000"/>
          <w:sz w:val="24"/>
        </w:rPr>
        <w:t xml:space="preserve">In connection with our restructuring and related actions, we have incurred restructuring costs as defined by U.S. GAAP, which are primarily severance and employee benefits, asset impairments, accelerated depreciation, as well as facility closure, contract termination and certain pension costs that are directly related to restructuring actions. We also incur restructuring-related costs, which are costs associated with our business transformation initiatives, including the consolidation of back-office functions and streamlining our processes, and certain other costs and gains associated with restructuring actions. We refer to these costs on a combined basis as "restructuring and related costs", which is a non-GAAP measure. </w:t>
      </w:r>
    </w:p>
    <w:p>
      <w:pPr>
        <w:pStyle w:val="TextBody"/>
        <w:bidi w:val="0"/>
        <w:spacing w:lineRule="auto" w:line="417" w:before="0" w:after="200"/>
        <w:jc w:val="both"/>
        <w:rPr>
          <w:rFonts w:ascii="Times New Roman;serif" w:hAnsi="Times New Roman;serif"/>
          <w:b w:val="false"/>
          <w:color w:val="000000"/>
          <w:sz w:val="24"/>
        </w:rPr>
      </w:pPr>
      <w:r>
        <w:rPr>
          <w:rFonts w:ascii="Times New Roman;serif" w:hAnsi="Times New Roman;serif"/>
          <w:b w:val="false"/>
          <w:color w:val="000000"/>
          <w:sz w:val="24"/>
        </w:rPr>
        <w:t>Organic net sales, a non-GAAP measure, represents Net sales according to U.S. GAAP, less Net sales from acquisitions and divestitures during the first twelve months of ownership or divestiture, respectively, less the effect of fluctuations in Net sales from foreign currency exchange. The period-over-period effect of fluctuations in Net sales from foreign currency exchange is calculated as the difference between local currency Net sales of the prior period translated at the current period exchange rate as compared to the same local currency Net sales translated at the prior period exchange rate. We believe this measure provides management and investors with a more complete understanding of the underlying operating results and trends of established, ongoing operations by excluding the effect of acquisitions, dispositions and foreign currency, as these activities can obscure underlying trends. When comparing Net sales growth between periods excluding the effects of acquisitions, business dispositions and currency exchange rates, those effects are different when comparing results for different periods. For example, because Net sales from acquisitions are considered inorganic from the date we complete an acquisition through the end of the first year following the acquisition, Net sales from such acquisitions are reflected as organic net sales thereafter.</w:t>
      </w:r>
    </w:p>
    <w:p>
      <w:pPr>
        <w:pStyle w:val="TextBody"/>
        <w:bidi w:val="0"/>
        <w:spacing w:lineRule="auto" w:line="417" w:before="0" w:after="200"/>
        <w:jc w:val="both"/>
        <w:rPr>
          <w:rFonts w:ascii="Times New Roman;serif" w:hAnsi="Times New Roman;serif"/>
          <w:b w:val="false"/>
          <w:color w:val="000000"/>
          <w:sz w:val="24"/>
        </w:rPr>
      </w:pPr>
      <w:r>
        <w:rPr>
          <w:rFonts w:ascii="Times New Roman;serif" w:hAnsi="Times New Roman;serif"/>
          <w:b w:val="false"/>
          <w:color w:val="000000"/>
          <w:sz w:val="24"/>
        </w:rPr>
        <w:t>There are limitations to the use of non-GAAP measures. Non-GAAP measures do not present complete financial results. We compensate for this limitation by providing a reconciliation between our non-GAAP financial measures and the respective most directly comparable financial measure calculated and presented in accordance with GAAP. Because non-GAAP financial measures are not standardized, it may not be possible to compare these financial measures with other companies’ non-GAAP financial measures having the same or similar names. These financial measures should not be considered in isolation from, as substitutes for, or alternative measures of, reported GAAP financial results, and should be viewed in conjunction with the most comparable GAAP financial measures and the provided reconciliations thereto. We believe, however, that these non-GAAP financial measures, when viewed together with our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417" w:before="0" w:after="200"/>
        <w:jc w:val="both"/>
        <w:rPr>
          <w:rFonts w:ascii="Times New Roman;serif" w:hAnsi="Times New Roman;serif"/>
          <w:b w:val="false"/>
          <w:color w:val="000000"/>
          <w:sz w:val="24"/>
        </w:rPr>
      </w:pPr>
      <w:r>
        <w:rPr>
          <w:rFonts w:ascii="Times New Roman;serif" w:hAnsi="Times New Roman;serif"/>
          <w:b w:val="false"/>
          <w:color w:val="000000"/>
          <w:sz w:val="24"/>
        </w:rPr>
        <w:t>Reconciliations of each of these non-GAAP measures to the most directly comparable GAAP measure can be found in the tables below. When we provide our expectations for organic net sales, adjusted effective tax rate, adjusted diluted EPS and free cash flow on a forward-looking basis, a reconciliation of the differences between the non-GAAP expectations and the corresponding GAAP measures (expected net sales, effective tax rate, diluted EPS and net cash flows provided by operating activities) generally is not available without unreasonable effort due to potentially high variability, complexity and low visibility as to the items that would be excluded from the GAAP measure in the relevant future period, such as unusual gains and losses, fluctuations in foreign currency exchange rates, the impact and timing of potential acquisitions and divestitures, certain financing costs, and other structural changes or their probable significance. The variability of the excluded items may have a significant, and potentially unpredictable, impact on our future GAAP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HUBBELL INCORPORATED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 of Income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millions, except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95"/>
        <w:gridCol w:w="1312"/>
        <w:gridCol w:w="1319"/>
        <w:gridCol w:w="211"/>
        <w:gridCol w:w="781"/>
        <w:gridCol w:w="271"/>
        <w:gridCol w:w="109"/>
        <w:gridCol w:w="109"/>
        <w:gridCol w:w="109"/>
        <w:gridCol w:w="211"/>
        <w:gridCol w:w="781"/>
        <w:gridCol w:w="271"/>
        <w:gridCol w:w="109"/>
        <w:gridCol w:w="109"/>
        <w:gridCol w:w="109"/>
        <w:gridCol w:w="211"/>
        <w:gridCol w:w="781"/>
        <w:gridCol w:w="271"/>
        <w:gridCol w:w="109"/>
        <w:gridCol w:w="109"/>
        <w:gridCol w:w="109"/>
        <w:gridCol w:w="211"/>
        <w:gridCol w:w="781"/>
        <w:gridCol w:w="317"/>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1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1,711.8</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1,484.3</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3,228.5</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2,849.5</w:t>
            </w:r>
            <w:r>
              <w:rPr>
                <w:color w:val="000000"/>
              </w:rPr>
              <w:t> </w:t>
            </w:r>
          </w:p>
        </w:tc>
        <w:tc>
          <w:tcPr>
            <w:tcW w:w="31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goods sold</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1,098.8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932.2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2,110.2</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1,854.8</w:t>
            </w: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99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613.0</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552.1</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1,118.3</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994.7</w:t>
            </w:r>
            <w:r>
              <w:rPr>
                <w:color w:val="000000"/>
              </w:rPr>
              <w:t> </w:t>
            </w:r>
          </w:p>
        </w:tc>
        <w:tc>
          <w:tcPr>
            <w:tcW w:w="31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&amp; administrative expenses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505.9</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428.0</w:t>
            </w: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99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348.6</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336.3</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612.4</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566.7</w:t>
            </w:r>
            <w:r>
              <w:rPr>
                <w:color w:val="000000"/>
              </w:rPr>
              <w:t> </w:t>
            </w:r>
          </w:p>
        </w:tc>
        <w:tc>
          <w:tcPr>
            <w:tcW w:w="31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Operating income as a % of Net sales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20.4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22.7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19.0</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19.9</w:t>
            </w:r>
            <w:r>
              <w:rPr>
                <w:color w:val="000000"/>
              </w:rPr>
              <w:t>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r>
      <w:tr>
        <w:trPr/>
        <w:tc>
          <w:tcPr>
            <w:tcW w:w="4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on disposition of business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(0.4)</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4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(28.3)</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expense, net</w:t>
            </w:r>
          </w:p>
        </w:tc>
        <w:tc>
          <w:tcPr>
            <w:tcW w:w="99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(44.9)</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(21.1)</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(72.3)</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(40.2)</w:t>
            </w:r>
          </w:p>
        </w:tc>
        <w:tc>
          <w:tcPr>
            <w:tcW w:w="31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540.1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526.5</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Provision for income taxes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116.5</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99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242.2</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245.5</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425.2</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410.0</w:t>
            </w:r>
            <w:r>
              <w:rPr>
                <w:color w:val="000000"/>
              </w:rPr>
              <w:t> </w:t>
            </w:r>
          </w:p>
        </w:tc>
        <w:tc>
          <w:tcPr>
            <w:tcW w:w="31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Net income attributable to noncontrolling interest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Hubbell Incorporated</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240.4</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244.2</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422.2</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407.4</w:t>
            </w:r>
            <w:r>
              <w:rPr>
                <w:color w:val="000000"/>
              </w:rPr>
              <w:t> </w:t>
            </w:r>
          </w:p>
        </w:tc>
        <w:tc>
          <w:tcPr>
            <w:tcW w:w="31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412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4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7.62</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412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412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4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Diluted earnings per share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7.58</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412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412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412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HUBBELL INCORPORATED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millions)</w:t>
      </w:r>
    </w:p>
    <w:p>
      <w:pPr>
        <w:pStyle w:val="TextBody"/>
        <w:bidi w:val="0"/>
        <w:spacing w:lineRule="auto" w:line="288" w:before="0" w:after="0"/>
        <w:jc w:val="left"/>
        <w:rPr>
          <w:color w:val="000000"/>
        </w:rPr>
      </w:pPr>
      <w:r>
        <w:rPr>
          <w:color w:val="000000"/>
        </w:rPr>
        <w:t> </w:t>
      </w:r>
    </w:p>
    <w:tbl>
      <w:tblPr>
        <w:tblW w:w="8380" w:type="dxa"/>
        <w:jc w:val="left"/>
        <w:tblInd w:w="0" w:type="dxa"/>
        <w:tblLayout w:type="fixed"/>
        <w:tblCellMar>
          <w:top w:w="28" w:type="dxa"/>
          <w:left w:w="28" w:type="dxa"/>
          <w:bottom w:w="28" w:type="dxa"/>
          <w:right w:w="28" w:type="dxa"/>
        </w:tblCellMar>
      </w:tblPr>
      <w:tblGrid>
        <w:gridCol w:w="1808"/>
        <w:gridCol w:w="1594"/>
        <w:gridCol w:w="1607"/>
        <w:gridCol w:w="223"/>
        <w:gridCol w:w="937"/>
        <w:gridCol w:w="115"/>
        <w:gridCol w:w="109"/>
        <w:gridCol w:w="109"/>
        <w:gridCol w:w="109"/>
        <w:gridCol w:w="326"/>
        <w:gridCol w:w="1206"/>
        <w:gridCol w:w="237"/>
      </w:tblGrid>
      <w:tr>
        <w:trPr/>
        <w:tc>
          <w:tcPr>
            <w:tcW w:w="1808"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7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378.6</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482.5</w:t>
            </w:r>
            <w:r>
              <w:rPr>
                <w:color w:val="000000"/>
              </w:rPr>
              <w:t>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Short-term investments </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w:t>
            </w: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receivable (net of allowances of $17.0 and $13.9)</w:t>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1,150.9</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856.9</w:t>
            </w:r>
            <w:r>
              <w:rPr>
                <w:color w:val="000000"/>
              </w:rPr>
              <w:t>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 net</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1,267.5</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1,083.8</w:t>
            </w: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Other current assets </w:t>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197.2</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155.4</w:t>
            </w:r>
            <w:r>
              <w:rPr>
                <w:color w:val="000000"/>
              </w:rPr>
              <w:t>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16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3,010.3</w:t>
            </w:r>
            <w:r>
              <w:rPr>
                <w:color w:val="000000"/>
              </w:rPr>
              <w:t> </w:t>
            </w:r>
          </w:p>
        </w:tc>
        <w:tc>
          <w:tcPr>
            <w:tcW w:w="11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2,594.0</w:t>
            </w:r>
            <w:r>
              <w:rPr>
                <w:color w:val="000000"/>
              </w:rPr>
              <w:t> </w:t>
            </w:r>
          </w:p>
        </w:tc>
        <w:tc>
          <w:tcPr>
            <w:tcW w:w="23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902.4</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841.2</w:t>
            </w: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Investments </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98.4</w:t>
            </w: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4,354.1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3,060.8</w:t>
            </w: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intangible assets, net</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3,189.9</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1,394.3</w:t>
            </w: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long-term assets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285.8</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240.1</w:t>
            </w: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2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11,846.2</w:t>
            </w:r>
            <w:r>
              <w:rPr>
                <w:color w:val="000000"/>
              </w:rPr>
              <w:t> </w:t>
            </w:r>
          </w:p>
        </w:tc>
        <w:tc>
          <w:tcPr>
            <w:tcW w:w="11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8,228.8</w:t>
            </w:r>
            <w:r>
              <w:rPr>
                <w:color w:val="000000"/>
              </w:rPr>
              <w:t> </w:t>
            </w:r>
          </w:p>
        </w:tc>
        <w:tc>
          <w:tcPr>
            <w:tcW w:w="23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debt</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568.7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289.1</w:t>
            </w: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payable</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650.5</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570.5</w:t>
            </w: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salaries, wages and employee benefits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115.4</w:t>
            </w: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insurance</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84.9</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83.0</w:t>
            </w: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accrued liabilities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449.3</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450.7</w:t>
            </w: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16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1,870.5</w:t>
            </w:r>
            <w:r>
              <w:rPr>
                <w:color w:val="000000"/>
              </w:rPr>
              <w:t> </w:t>
            </w:r>
          </w:p>
        </w:tc>
        <w:tc>
          <w:tcPr>
            <w:tcW w:w="11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1,508.7</w:t>
            </w:r>
            <w:r>
              <w:rPr>
                <w:color w:val="000000"/>
              </w:rPr>
              <w:t> </w:t>
            </w:r>
          </w:p>
        </w:tc>
        <w:tc>
          <w:tcPr>
            <w:tcW w:w="23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4,803.9</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2,036.3</w:t>
            </w: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816.0</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420.1</w:t>
            </w: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non-current liabilities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432.8</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405.8</w:t>
            </w: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6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7,923.2</w:t>
            </w:r>
            <w:r>
              <w:rPr>
                <w:color w:val="000000"/>
              </w:rPr>
              <w:t> </w:t>
            </w:r>
          </w:p>
        </w:tc>
        <w:tc>
          <w:tcPr>
            <w:tcW w:w="11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4,370.9</w:t>
            </w:r>
            <w:r>
              <w:rPr>
                <w:color w:val="000000"/>
              </w:rPr>
              <w:t> </w:t>
            </w:r>
          </w:p>
        </w:tc>
        <w:tc>
          <w:tcPr>
            <w:tcW w:w="23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Hubbell Incorporated Shareholders' Equity</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3,911.9</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3,847.9</w:t>
            </w: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Noncontrolling interest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3,923.0</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3,857.9</w:t>
            </w: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2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w:t>
            </w:r>
          </w:p>
        </w:tc>
        <w:tc>
          <w:tcPr>
            <w:tcW w:w="93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shd w:fill="FFFFFF" w:val="clear"/>
              </w:rPr>
              <w:t>11,846.2</w:t>
            </w:r>
            <w:r>
              <w:rPr>
                <w:color w:val="000000"/>
                <w:shd w:fill="FFFFFF" w:val="clear"/>
              </w:rPr>
              <w:t> </w:t>
            </w:r>
          </w:p>
        </w:tc>
        <w:tc>
          <w:tcPr>
            <w:tcW w:w="11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w:t>
            </w:r>
          </w:p>
        </w:tc>
        <w:tc>
          <w:tcPr>
            <w:tcW w:w="12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shd w:fill="FFFFFF" w:val="clear"/>
              </w:rPr>
              <w:t>8,228.8</w:t>
            </w:r>
            <w:r>
              <w:rPr>
                <w:color w:val="000000"/>
                <w:shd w:fill="FFFFFF" w:val="clear"/>
              </w:rPr>
              <w:t> </w:t>
            </w:r>
          </w:p>
        </w:tc>
        <w:tc>
          <w:tcPr>
            <w:tcW w:w="23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HUBBELL INCORPORATED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 of Cash Flows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millions)</w:t>
      </w:r>
    </w:p>
    <w:tbl>
      <w:tblPr>
        <w:tblW w:w="8537" w:type="dxa"/>
        <w:jc w:val="center"/>
        <w:tblInd w:w="0" w:type="dxa"/>
        <w:tblLayout w:type="fixed"/>
        <w:tblCellMar>
          <w:top w:w="28" w:type="dxa"/>
          <w:left w:w="28" w:type="dxa"/>
          <w:bottom w:w="28" w:type="dxa"/>
          <w:right w:w="28" w:type="dxa"/>
        </w:tblCellMar>
      </w:tblPr>
      <w:tblGrid>
        <w:gridCol w:w="2135"/>
        <w:gridCol w:w="1874"/>
        <w:gridCol w:w="1885"/>
        <w:gridCol w:w="225"/>
        <w:gridCol w:w="675"/>
        <w:gridCol w:w="116"/>
        <w:gridCol w:w="116"/>
        <w:gridCol w:w="116"/>
        <w:gridCol w:w="116"/>
        <w:gridCol w:w="225"/>
        <w:gridCol w:w="675"/>
        <w:gridCol w:w="116"/>
        <w:gridCol w:w="109"/>
        <w:gridCol w:w="154"/>
      </w:tblGrid>
      <w:tr>
        <w:trPr/>
        <w:tc>
          <w:tcPr>
            <w:tcW w:w="2135"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Cash Flows From Operating Activities </w:t>
            </w:r>
          </w:p>
        </w:tc>
        <w:tc>
          <w:tcPr>
            <w:tcW w:w="10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Hubbell</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422.2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407.4</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127.8</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95.2</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income taxes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Stock-based compensation expense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on disposition of business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(gain) on sale of assets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assets and liabilities, net of acquisitions</w:t>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receivable, net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(167.1)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(140.4)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 net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payable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 and liabilities, net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Contributions to defined benefit pension plans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net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Net cash provided by operating activities </w:t>
            </w:r>
          </w:p>
        </w:tc>
        <w:tc>
          <w:tcPr>
            <w:tcW w:w="90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336.4</w:t>
            </w:r>
            <w:r>
              <w:rPr>
                <w:color w:val="000000"/>
              </w:rPr>
              <w:t> </w:t>
            </w:r>
          </w:p>
        </w:tc>
        <w:tc>
          <w:tcPr>
            <w:tcW w:w="11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298.0</w:t>
            </w:r>
            <w:r>
              <w:rPr>
                <w:color w:val="000000"/>
              </w:rPr>
              <w:t> </w:t>
            </w:r>
          </w:p>
        </w:tc>
        <w:tc>
          <w:tcPr>
            <w:tcW w:w="11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Cash Flows From Investing Activities </w:t>
            </w:r>
          </w:p>
        </w:tc>
        <w:tc>
          <w:tcPr>
            <w:tcW w:w="10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Acquisition of businesses, net of cash acquired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(3,005.7)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Proceeds from disposal of business, net of cash</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Purchases of available-for-sale investments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Proceeds from sales of available-for-sale investments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net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Net cash used in investing activities </w:t>
            </w:r>
          </w:p>
        </w:tc>
        <w:tc>
          <w:tcPr>
            <w:tcW w:w="90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(3,086.6)</w:t>
            </w:r>
          </w:p>
        </w:tc>
        <w:tc>
          <w:tcPr>
            <w:tcW w:w="11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(140.6)</w:t>
            </w:r>
          </w:p>
        </w:tc>
        <w:tc>
          <w:tcPr>
            <w:tcW w:w="11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Cash Flows From Financing Activities </w:t>
            </w:r>
          </w:p>
        </w:tc>
        <w:tc>
          <w:tcPr>
            <w:tcW w:w="10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Issuance of long-term debt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2,787.5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Borrowing of short-term debt, net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279.6</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277.7</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Payment of dividends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(150.4)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Debt issuance costs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Repurchase of common shares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(203.5)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(225.0)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net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Net cash provided (used in) by financing activities </w:t>
            </w:r>
          </w:p>
        </w:tc>
        <w:tc>
          <w:tcPr>
            <w:tcW w:w="90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2,651.7</w:t>
            </w:r>
            <w:r>
              <w:rPr>
                <w:color w:val="000000"/>
              </w:rPr>
              <w:t> </w:t>
            </w:r>
          </w:p>
        </w:tc>
        <w:tc>
          <w:tcPr>
            <w:tcW w:w="11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(117.5)</w:t>
            </w:r>
          </w:p>
        </w:tc>
        <w:tc>
          <w:tcPr>
            <w:tcW w:w="11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foreign exchange rate changes on cash and cash equivalents</w:t>
            </w:r>
          </w:p>
        </w:tc>
        <w:tc>
          <w:tcPr>
            <w:tcW w:w="90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1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w:t>
            </w:r>
            <w:r>
              <w:rPr>
                <w:color w:val="000000"/>
              </w:rPr>
              <w:t> </w:t>
            </w:r>
          </w:p>
        </w:tc>
        <w:tc>
          <w:tcPr>
            <w:tcW w:w="1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(Decrease) increase in cash, cash equivalents and restricted cash</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(99.7)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53.0</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beginning of year</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482.5</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329.1</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Restricted cash, included in other assets, beginning of year</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Restricted cash, included in other assets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quarter</w:t>
            </w:r>
          </w:p>
        </w:tc>
        <w:tc>
          <w:tcPr>
            <w:tcW w:w="225" w:type="dxa"/>
            <w:tcBorders>
              <w:top w:val="single" w:sz="2" w:space="0" w:color="000000"/>
              <w:bottom w:val="single" w:sz="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5" w:type="dxa"/>
            <w:tcBorders>
              <w:top w:val="single" w:sz="2" w:space="0" w:color="000000"/>
              <w:bottom w:val="single" w:sz="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378.6</w:t>
            </w:r>
            <w:r>
              <w:rPr>
                <w:color w:val="000000"/>
              </w:rPr>
              <w:t> </w:t>
            </w:r>
          </w:p>
        </w:tc>
        <w:tc>
          <w:tcPr>
            <w:tcW w:w="116" w:type="dxa"/>
            <w:tcBorders>
              <w:top w:val="single" w:sz="2" w:space="0" w:color="000000"/>
              <w:bottom w:val="single" w:sz="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2" w:space="0" w:color="000000"/>
              <w:bottom w:val="single" w:sz="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5" w:type="dxa"/>
            <w:tcBorders>
              <w:top w:val="single" w:sz="2" w:space="0" w:color="000000"/>
              <w:bottom w:val="single" w:sz="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382.6</w:t>
            </w:r>
            <w:r>
              <w:rPr>
                <w:color w:val="000000"/>
              </w:rPr>
              <w:t> </w:t>
            </w:r>
          </w:p>
        </w:tc>
        <w:tc>
          <w:tcPr>
            <w:tcW w:w="116" w:type="dxa"/>
            <w:tcBorders>
              <w:top w:val="single" w:sz="2" w:space="0" w:color="000000"/>
              <w:bottom w:val="single" w:sz="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HUBBELL INCORPORATED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Earnings Per Share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millions, except per share amounts)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426"/>
        <w:gridCol w:w="1044"/>
        <w:gridCol w:w="1047"/>
        <w:gridCol w:w="196"/>
        <w:gridCol w:w="571"/>
        <w:gridCol w:w="109"/>
        <w:gridCol w:w="109"/>
        <w:gridCol w:w="109"/>
        <w:gridCol w:w="109"/>
        <w:gridCol w:w="196"/>
        <w:gridCol w:w="571"/>
        <w:gridCol w:w="109"/>
        <w:gridCol w:w="109"/>
        <w:gridCol w:w="109"/>
        <w:gridCol w:w="109"/>
        <w:gridCol w:w="173"/>
        <w:gridCol w:w="173"/>
        <w:gridCol w:w="402"/>
        <w:gridCol w:w="109"/>
        <w:gridCol w:w="109"/>
        <w:gridCol w:w="109"/>
        <w:gridCol w:w="196"/>
        <w:gridCol w:w="571"/>
        <w:gridCol w:w="109"/>
        <w:gridCol w:w="109"/>
        <w:gridCol w:w="109"/>
        <w:gridCol w:w="109"/>
        <w:gridCol w:w="196"/>
        <w:gridCol w:w="571"/>
        <w:gridCol w:w="109"/>
        <w:gridCol w:w="109"/>
        <w:gridCol w:w="109"/>
        <w:gridCol w:w="109"/>
        <w:gridCol w:w="173"/>
        <w:gridCol w:w="173"/>
        <w:gridCol w:w="455"/>
      </w:tblGrid>
      <w:tr>
        <w:trPr/>
        <w:tc>
          <w:tcPr>
            <w:tcW w:w="142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Hubbell (GAAP measure)</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240.4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244.2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40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422.2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407.4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45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Amortization of acquisition-related intangible assets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Transaction, integration &amp; separation costs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on disposition of business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Subtotal</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307.5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270.5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526.2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458.8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tax effects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293.7</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264.3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w:t>
            </w:r>
            <w:r>
              <w:rPr>
                <w:color w:val="000000"/>
              </w:rPr>
              <w:t>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503.6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446.7</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w:t>
            </w: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Hubbell (GAAP measure)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Less: Earnings allocated to participating securities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available to common shareholders (GAAP measure) [a]</w:t>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240.1</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243.8</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421.7</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406.7</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Adjusted 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Less: Earnings allocated to participating securities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 available to common shareholders [b]</w:t>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293.3</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263.8</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w:t>
            </w:r>
            <w:r>
              <w:rPr>
                <w:color w:val="000000"/>
              </w:rPr>
              <w:t>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502.9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445.9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w:t>
            </w: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number of common shares outstanding [c]</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Potential dilutive shares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number of diluted shares outstanding [d]</w:t>
            </w:r>
          </w:p>
        </w:tc>
        <w:tc>
          <w:tcPr>
            <w:tcW w:w="7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53.7</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share (GAAP measure):</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 / [c]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[a] / [d]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Adjusted earnings per diluted share [b] / [d]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HUBBELL INCORPORATED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Segment Information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85"/>
        <w:gridCol w:w="748"/>
        <w:gridCol w:w="632"/>
        <w:gridCol w:w="196"/>
        <w:gridCol w:w="706"/>
        <w:gridCol w:w="286"/>
        <w:gridCol w:w="109"/>
        <w:gridCol w:w="109"/>
        <w:gridCol w:w="109"/>
        <w:gridCol w:w="196"/>
        <w:gridCol w:w="706"/>
        <w:gridCol w:w="286"/>
        <w:gridCol w:w="109"/>
        <w:gridCol w:w="109"/>
        <w:gridCol w:w="109"/>
        <w:gridCol w:w="174"/>
        <w:gridCol w:w="174"/>
        <w:gridCol w:w="404"/>
        <w:gridCol w:w="109"/>
        <w:gridCol w:w="109"/>
        <w:gridCol w:w="109"/>
        <w:gridCol w:w="196"/>
        <w:gridCol w:w="706"/>
        <w:gridCol w:w="286"/>
        <w:gridCol w:w="109"/>
        <w:gridCol w:w="109"/>
        <w:gridCol w:w="109"/>
        <w:gridCol w:w="196"/>
        <w:gridCol w:w="706"/>
        <w:gridCol w:w="286"/>
        <w:gridCol w:w="109"/>
        <w:gridCol w:w="109"/>
        <w:gridCol w:w="109"/>
        <w:gridCol w:w="173"/>
        <w:gridCol w:w="173"/>
        <w:gridCol w:w="455"/>
      </w:tblGrid>
      <w:tr>
        <w:trPr/>
        <w:tc>
          <w:tcPr>
            <w:tcW w:w="88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Hubbell Incorporated</w:t>
            </w:r>
          </w:p>
        </w:tc>
        <w:tc>
          <w:tcPr>
            <w:tcW w:w="37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 [a]</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1,711.8</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1,484.3</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40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3,228.5</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2,849.5</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w:t>
            </w:r>
            <w:r>
              <w:rPr>
                <w:color w:val="000000"/>
              </w:rPr>
              <w:t> </w:t>
            </w:r>
          </w:p>
        </w:tc>
        <w:tc>
          <w:tcPr>
            <w:tcW w:w="45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measure [b]</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348.6</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336.3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4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612.4</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566.7</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w:t>
            </w:r>
            <w:r>
              <w:rPr>
                <w:color w:val="000000"/>
              </w:rPr>
              <w:t> </w:t>
            </w:r>
          </w:p>
        </w:tc>
        <w:tc>
          <w:tcPr>
            <w:tcW w:w="4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Amortization of acquisition-related intangible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Transaction, integration &amp; separation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operating income [c]</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408.5</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362.2</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w:t>
            </w: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709.2</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617.7</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margin</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measure [b] / [a]</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20.4</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22.7</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19.9</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-90 bps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Adjusted operating margin [c] / [a]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 bps</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73"/>
        <w:gridCol w:w="770"/>
        <w:gridCol w:w="743"/>
        <w:gridCol w:w="196"/>
        <w:gridCol w:w="706"/>
        <w:gridCol w:w="286"/>
        <w:gridCol w:w="109"/>
        <w:gridCol w:w="109"/>
        <w:gridCol w:w="109"/>
        <w:gridCol w:w="196"/>
        <w:gridCol w:w="571"/>
        <w:gridCol w:w="286"/>
        <w:gridCol w:w="109"/>
        <w:gridCol w:w="109"/>
        <w:gridCol w:w="109"/>
        <w:gridCol w:w="173"/>
        <w:gridCol w:w="173"/>
        <w:gridCol w:w="402"/>
        <w:gridCol w:w="109"/>
        <w:gridCol w:w="109"/>
        <w:gridCol w:w="109"/>
        <w:gridCol w:w="196"/>
        <w:gridCol w:w="706"/>
        <w:gridCol w:w="286"/>
        <w:gridCol w:w="109"/>
        <w:gridCol w:w="109"/>
        <w:gridCol w:w="109"/>
        <w:gridCol w:w="196"/>
        <w:gridCol w:w="706"/>
        <w:gridCol w:w="286"/>
        <w:gridCol w:w="109"/>
        <w:gridCol w:w="109"/>
        <w:gridCol w:w="109"/>
        <w:gridCol w:w="176"/>
        <w:gridCol w:w="176"/>
        <w:gridCol w:w="467"/>
      </w:tblGrid>
      <w:tr>
        <w:trPr/>
        <w:tc>
          <w:tcPr>
            <w:tcW w:w="87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Utility Solutions</w:t>
            </w:r>
          </w:p>
        </w:tc>
        <w:tc>
          <w:tcPr>
            <w:tcW w:w="36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3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 [a]</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1,025.8</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935.5</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40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1,974.7</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1,792.6</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46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measure [b]</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233.9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218.2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w:t>
            </w:r>
            <w:r>
              <w:rPr>
                <w:color w:val="000000"/>
              </w:rPr>
              <w:t>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409.0</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369.0</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w:t>
            </w:r>
            <w:r>
              <w:rPr>
                <w:color w:val="000000"/>
              </w:rPr>
              <w:t> </w:t>
            </w:r>
          </w:p>
        </w:tc>
        <w:tc>
          <w:tcPr>
            <w:tcW w:w="4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Amortization of acquisition-related intangible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Transaction, integration &amp; separation costs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operating income [c]</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262.8</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238.7</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470.1</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409.4</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margin</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measure [b] / [a]</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23.3</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20.7</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20.6</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 bps</w:t>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operating margin [c] / [a]</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+100 bps</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24"/>
        <w:gridCol w:w="815"/>
        <w:gridCol w:w="790"/>
        <w:gridCol w:w="196"/>
        <w:gridCol w:w="571"/>
        <w:gridCol w:w="286"/>
        <w:gridCol w:w="109"/>
        <w:gridCol w:w="109"/>
        <w:gridCol w:w="109"/>
        <w:gridCol w:w="196"/>
        <w:gridCol w:w="571"/>
        <w:gridCol w:w="286"/>
        <w:gridCol w:w="109"/>
        <w:gridCol w:w="109"/>
        <w:gridCol w:w="109"/>
        <w:gridCol w:w="174"/>
        <w:gridCol w:w="174"/>
        <w:gridCol w:w="405"/>
        <w:gridCol w:w="109"/>
        <w:gridCol w:w="109"/>
        <w:gridCol w:w="109"/>
        <w:gridCol w:w="196"/>
        <w:gridCol w:w="706"/>
        <w:gridCol w:w="286"/>
        <w:gridCol w:w="109"/>
        <w:gridCol w:w="109"/>
        <w:gridCol w:w="109"/>
        <w:gridCol w:w="196"/>
        <w:gridCol w:w="706"/>
        <w:gridCol w:w="286"/>
        <w:gridCol w:w="109"/>
        <w:gridCol w:w="109"/>
        <w:gridCol w:w="109"/>
        <w:gridCol w:w="173"/>
        <w:gridCol w:w="173"/>
        <w:gridCol w:w="460"/>
      </w:tblGrid>
      <w:tr>
        <w:trPr/>
        <w:tc>
          <w:tcPr>
            <w:tcW w:w="9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Electrical Solutions</w:t>
            </w:r>
          </w:p>
        </w:tc>
        <w:tc>
          <w:tcPr>
            <w:tcW w:w="35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 [a]</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686.0</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548.8</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w:t>
            </w:r>
            <w:r>
              <w:rPr>
                <w:color w:val="000000"/>
              </w:rPr>
              <w:t> </w:t>
            </w:r>
          </w:p>
        </w:tc>
        <w:tc>
          <w:tcPr>
            <w:tcW w:w="40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1,253.8</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1,056.9</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w:t>
            </w:r>
            <w:r>
              <w:rPr>
                <w:color w:val="000000"/>
              </w:rPr>
              <w:t> </w:t>
            </w:r>
          </w:p>
        </w:tc>
        <w:tc>
          <w:tcPr>
            <w:tcW w:w="46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measure [b]</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203.4</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197.7</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w:t>
            </w:r>
            <w:r>
              <w:rPr>
                <w:color w:val="000000"/>
              </w:rPr>
              <w:t> </w:t>
            </w:r>
          </w:p>
        </w:tc>
        <w:tc>
          <w:tcPr>
            <w:tcW w:w="4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Amortization of acquisition-related intangible assets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Transaction, integration &amp; separation costs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operating income [c]</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145.7</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123.5</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w:t>
            </w: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239.1</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208.3</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margin</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measure [b] / [a]</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16.7</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21.5</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-250 bps</w:t>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operating margin [c] / [a]</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 bps</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HUBBELL INCORPORATED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Organic Net Sales Growth</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millions and percentage change)</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65"/>
        <w:gridCol w:w="585"/>
        <w:gridCol w:w="588"/>
        <w:gridCol w:w="196"/>
        <w:gridCol w:w="571"/>
        <w:gridCol w:w="109"/>
        <w:gridCol w:w="109"/>
        <w:gridCol w:w="109"/>
        <w:gridCol w:w="109"/>
        <w:gridCol w:w="329"/>
        <w:gridCol w:w="189"/>
        <w:gridCol w:w="189"/>
        <w:gridCol w:w="109"/>
        <w:gridCol w:w="109"/>
        <w:gridCol w:w="109"/>
        <w:gridCol w:w="196"/>
        <w:gridCol w:w="481"/>
        <w:gridCol w:w="109"/>
        <w:gridCol w:w="109"/>
        <w:gridCol w:w="109"/>
        <w:gridCol w:w="109"/>
        <w:gridCol w:w="271"/>
        <w:gridCol w:w="187"/>
        <w:gridCol w:w="189"/>
        <w:gridCol w:w="109"/>
        <w:gridCol w:w="109"/>
        <w:gridCol w:w="109"/>
        <w:gridCol w:w="196"/>
        <w:gridCol w:w="571"/>
        <w:gridCol w:w="109"/>
        <w:gridCol w:w="109"/>
        <w:gridCol w:w="109"/>
        <w:gridCol w:w="109"/>
        <w:gridCol w:w="329"/>
        <w:gridCol w:w="189"/>
        <w:gridCol w:w="189"/>
        <w:gridCol w:w="109"/>
        <w:gridCol w:w="109"/>
        <w:gridCol w:w="109"/>
        <w:gridCol w:w="196"/>
        <w:gridCol w:w="481"/>
        <w:gridCol w:w="109"/>
        <w:gridCol w:w="109"/>
        <w:gridCol w:w="109"/>
        <w:gridCol w:w="109"/>
        <w:gridCol w:w="257"/>
        <w:gridCol w:w="178"/>
        <w:gridCol w:w="258"/>
      </w:tblGrid>
      <w:tr>
        <w:trPr/>
        <w:tc>
          <w:tcPr>
            <w:tcW w:w="6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Hubbell Incorporated</w:t>
            </w:r>
          </w:p>
        </w:tc>
        <w:tc>
          <w:tcPr>
            <w:tcW w:w="39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Inc/(Dec)%</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Inc/(Dec)%</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Inc/(Dec)%</w:t>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 growth (decline) (GAAP measure)</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227.5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15.3</w:t>
            </w:r>
            <w:r>
              <w:rPr>
                <w:color w:val="000000"/>
              </w:rPr>
              <w:t> </w:t>
            </w:r>
          </w:p>
        </w:tc>
        <w:tc>
          <w:tcPr>
            <w:tcW w:w="18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w:t>
            </w:r>
            <w:r>
              <w:rPr>
                <w:color w:val="000000"/>
              </w:rPr>
              <w:t> </w:t>
            </w:r>
          </w:p>
        </w:tc>
        <w:tc>
          <w:tcPr>
            <w:tcW w:w="18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379.0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w:t>
            </w:r>
            <w:r>
              <w:rPr>
                <w:color w:val="000000"/>
              </w:rPr>
              <w:t> </w:t>
            </w:r>
          </w:p>
        </w:tc>
        <w:tc>
          <w:tcPr>
            <w:tcW w:w="18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25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Impact of acquisitions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Impact of divestitures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(0.7)</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currency exchange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(0.4)</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Organic net sales growth (decline) (non-GAAP measure)</w:t>
            </w:r>
          </w:p>
        </w:tc>
        <w:tc>
          <w:tcPr>
            <w:tcW w:w="19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151.3</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w:t>
            </w:r>
            <w:r>
              <w:rPr>
                <w:color w:val="000000"/>
              </w:rPr>
              <w:t> </w:t>
            </w:r>
          </w:p>
        </w:tc>
        <w:tc>
          <w:tcPr>
            <w:tcW w:w="18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29.0</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w:t>
            </w:r>
            <w:r>
              <w:rPr>
                <w:color w:val="000000"/>
              </w:rPr>
              <w:t> </w:t>
            </w:r>
          </w:p>
        </w:tc>
        <w:tc>
          <w:tcPr>
            <w:tcW w:w="18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263.4</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w:t>
            </w:r>
            <w:r>
              <w:rPr>
                <w:color w:val="000000"/>
              </w:rPr>
              <w:t> </w:t>
            </w:r>
          </w:p>
        </w:tc>
        <w:tc>
          <w:tcPr>
            <w:tcW w:w="18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w:t>
            </w:r>
            <w:r>
              <w:rPr>
                <w:color w:val="000000"/>
              </w:rPr>
              <w:t> </w:t>
            </w:r>
          </w:p>
        </w:tc>
        <w:tc>
          <w:tcPr>
            <w:tcW w:w="25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77"/>
        <w:gridCol w:w="557"/>
        <w:gridCol w:w="559"/>
        <w:gridCol w:w="196"/>
        <w:gridCol w:w="481"/>
        <w:gridCol w:w="109"/>
        <w:gridCol w:w="109"/>
        <w:gridCol w:w="109"/>
        <w:gridCol w:w="109"/>
        <w:gridCol w:w="274"/>
        <w:gridCol w:w="195"/>
        <w:gridCol w:w="196"/>
        <w:gridCol w:w="109"/>
        <w:gridCol w:w="109"/>
        <w:gridCol w:w="109"/>
        <w:gridCol w:w="196"/>
        <w:gridCol w:w="481"/>
        <w:gridCol w:w="109"/>
        <w:gridCol w:w="109"/>
        <w:gridCol w:w="109"/>
        <w:gridCol w:w="109"/>
        <w:gridCol w:w="274"/>
        <w:gridCol w:w="195"/>
        <w:gridCol w:w="196"/>
        <w:gridCol w:w="109"/>
        <w:gridCol w:w="109"/>
        <w:gridCol w:w="109"/>
        <w:gridCol w:w="196"/>
        <w:gridCol w:w="571"/>
        <w:gridCol w:w="109"/>
        <w:gridCol w:w="109"/>
        <w:gridCol w:w="109"/>
        <w:gridCol w:w="109"/>
        <w:gridCol w:w="329"/>
        <w:gridCol w:w="196"/>
        <w:gridCol w:w="196"/>
        <w:gridCol w:w="109"/>
        <w:gridCol w:w="109"/>
        <w:gridCol w:w="109"/>
        <w:gridCol w:w="196"/>
        <w:gridCol w:w="496"/>
        <w:gridCol w:w="109"/>
        <w:gridCol w:w="109"/>
        <w:gridCol w:w="109"/>
        <w:gridCol w:w="109"/>
        <w:gridCol w:w="271"/>
        <w:gridCol w:w="184"/>
        <w:gridCol w:w="268"/>
      </w:tblGrid>
      <w:tr>
        <w:trPr/>
        <w:tc>
          <w:tcPr>
            <w:tcW w:w="77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Utility Solutions</w:t>
            </w:r>
          </w:p>
        </w:tc>
        <w:tc>
          <w:tcPr>
            <w:tcW w:w="38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Inc/(Dec)%</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Inc/(Dec)%</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Inc/(Dec)%</w:t>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 growth (decline) (GAAP measure)</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w:t>
            </w:r>
            <w:r>
              <w:rPr>
                <w:color w:val="000000"/>
              </w:rPr>
              <w:t> </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w:t>
            </w:r>
            <w:r>
              <w:rPr>
                <w:color w:val="000000"/>
              </w:rPr>
              <w:t> </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182.1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w:t>
            </w:r>
            <w:r>
              <w:rPr>
                <w:color w:val="000000"/>
              </w:rPr>
              <w:t> </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(27.9)</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w:t>
            </w:r>
          </w:p>
        </w:tc>
        <w:tc>
          <w:tcPr>
            <w:tcW w:w="26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Impact of acquisitions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w:t>
            </w: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w:t>
            </w: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Impact of divestitures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currency exchange</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w:t>
            </w: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(0.3)</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Organic net sales growth (decline) (non-GAAP measure)</w:t>
            </w:r>
          </w:p>
        </w:tc>
        <w:tc>
          <w:tcPr>
            <w:tcW w:w="19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51.0</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w:t>
            </w:r>
            <w:r>
              <w:rPr>
                <w:color w:val="000000"/>
              </w:rPr>
              <w:t> </w:t>
            </w:r>
          </w:p>
        </w:tc>
        <w:tc>
          <w:tcPr>
            <w:tcW w:w="19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w:t>
            </w:r>
            <w:r>
              <w:rPr>
                <w:color w:val="000000"/>
              </w:rPr>
              <w:t> </w:t>
            </w:r>
          </w:p>
        </w:tc>
        <w:tc>
          <w:tcPr>
            <w:tcW w:w="19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109.2</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w:t>
            </w:r>
            <w:r>
              <w:rPr>
                <w:color w:val="000000"/>
              </w:rPr>
              <w:t> </w:t>
            </w:r>
          </w:p>
        </w:tc>
        <w:tc>
          <w:tcPr>
            <w:tcW w:w="19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(22.3)</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w:t>
            </w:r>
          </w:p>
        </w:tc>
        <w:tc>
          <w:tcPr>
            <w:tcW w:w="26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34"/>
        <w:gridCol w:w="511"/>
        <w:gridCol w:w="512"/>
        <w:gridCol w:w="196"/>
        <w:gridCol w:w="571"/>
        <w:gridCol w:w="109"/>
        <w:gridCol w:w="109"/>
        <w:gridCol w:w="109"/>
        <w:gridCol w:w="109"/>
        <w:gridCol w:w="329"/>
        <w:gridCol w:w="198"/>
        <w:gridCol w:w="198"/>
        <w:gridCol w:w="109"/>
        <w:gridCol w:w="109"/>
        <w:gridCol w:w="109"/>
        <w:gridCol w:w="196"/>
        <w:gridCol w:w="481"/>
        <w:gridCol w:w="109"/>
        <w:gridCol w:w="109"/>
        <w:gridCol w:w="109"/>
        <w:gridCol w:w="109"/>
        <w:gridCol w:w="275"/>
        <w:gridCol w:w="196"/>
        <w:gridCol w:w="198"/>
        <w:gridCol w:w="109"/>
        <w:gridCol w:w="109"/>
        <w:gridCol w:w="109"/>
        <w:gridCol w:w="196"/>
        <w:gridCol w:w="571"/>
        <w:gridCol w:w="109"/>
        <w:gridCol w:w="109"/>
        <w:gridCol w:w="109"/>
        <w:gridCol w:w="109"/>
        <w:gridCol w:w="329"/>
        <w:gridCol w:w="198"/>
        <w:gridCol w:w="198"/>
        <w:gridCol w:w="109"/>
        <w:gridCol w:w="109"/>
        <w:gridCol w:w="109"/>
        <w:gridCol w:w="196"/>
        <w:gridCol w:w="481"/>
        <w:gridCol w:w="109"/>
        <w:gridCol w:w="109"/>
        <w:gridCol w:w="109"/>
        <w:gridCol w:w="109"/>
        <w:gridCol w:w="260"/>
        <w:gridCol w:w="186"/>
        <w:gridCol w:w="270"/>
      </w:tblGrid>
      <w:tr>
        <w:trPr/>
        <w:tc>
          <w:tcPr>
            <w:tcW w:w="73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Electrical Solutions</w:t>
            </w:r>
          </w:p>
        </w:tc>
        <w:tc>
          <w:tcPr>
            <w:tcW w:w="40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7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Inc/(Dec)%</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Inc/(Dec)%</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Inc/(Dec)%</w:t>
            </w:r>
          </w:p>
        </w:tc>
      </w:tr>
      <w:tr>
        <w:trPr/>
        <w:tc>
          <w:tcPr>
            <w:tcW w:w="1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 growth (GAAP measure)</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137.2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25.1</w:t>
            </w:r>
            <w:r>
              <w:rPr>
                <w:color w:val="000000"/>
              </w:rPr>
              <w:t> </w:t>
            </w:r>
          </w:p>
        </w:tc>
        <w:tc>
          <w:tcPr>
            <w:tcW w:w="19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w:t>
            </w:r>
            <w:r>
              <w:rPr>
                <w:color w:val="000000"/>
              </w:rPr>
              <w:t> </w:t>
            </w:r>
          </w:p>
        </w:tc>
        <w:tc>
          <w:tcPr>
            <w:tcW w:w="19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196.9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w:t>
            </w:r>
            <w:r>
              <w:rPr>
                <w:color w:val="000000"/>
              </w:rPr>
              <w:t> </w:t>
            </w:r>
          </w:p>
        </w:tc>
        <w:tc>
          <w:tcPr>
            <w:tcW w:w="19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w:t>
            </w:r>
            <w:r>
              <w:rPr>
                <w:color w:val="000000"/>
              </w:rPr>
              <w:t> </w:t>
            </w:r>
          </w:p>
        </w:tc>
        <w:tc>
          <w:tcPr>
            <w:tcW w:w="27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Impact of acquisitions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w:t>
            </w: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w:t>
            </w: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w:t>
            </w: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Impact of divestitures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currency exchange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(0.5)</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Organic net sales growth (non-GAAP measure)</w:t>
            </w:r>
          </w:p>
        </w:tc>
        <w:tc>
          <w:tcPr>
            <w:tcW w:w="19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100.3</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18.3</w:t>
            </w:r>
            <w:r>
              <w:rPr>
                <w:color w:val="000000"/>
              </w:rPr>
              <w:t> </w:t>
            </w:r>
          </w:p>
        </w:tc>
        <w:tc>
          <w:tcPr>
            <w:tcW w:w="19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18.6</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w:t>
            </w:r>
            <w:r>
              <w:rPr>
                <w:color w:val="000000"/>
              </w:rPr>
              <w:t> </w:t>
            </w:r>
          </w:p>
        </w:tc>
        <w:tc>
          <w:tcPr>
            <w:tcW w:w="19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154.2</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w:t>
            </w:r>
            <w:r>
              <w:rPr>
                <w:color w:val="000000"/>
              </w:rPr>
              <w:t> </w:t>
            </w:r>
          </w:p>
        </w:tc>
        <w:tc>
          <w:tcPr>
            <w:tcW w:w="19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42.6</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w:t>
            </w:r>
            <w:r>
              <w:rPr>
                <w:color w:val="000000"/>
              </w:rPr>
              <w:t> </w:t>
            </w:r>
          </w:p>
        </w:tc>
        <w:tc>
          <w:tcPr>
            <w:tcW w:w="270"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HUBBELL INCORPORATED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Adjusted EBITDA</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millions)</w:t>
      </w:r>
    </w:p>
    <w:p>
      <w:pPr>
        <w:pStyle w:val="TextBody"/>
        <w:bidi w:val="0"/>
        <w:spacing w:before="0" w:after="0"/>
        <w:jc w:val="center"/>
        <w:rPr/>
      </w:pPr>
      <w:r>
        <w:rPr/>
      </w:r>
    </w:p>
    <w:tbl>
      <w:tblPr>
        <w:tblW w:w="5679" w:type="dxa"/>
        <w:jc w:val="center"/>
        <w:tblInd w:w="0" w:type="dxa"/>
        <w:tblLayout w:type="fixed"/>
        <w:tblCellMar>
          <w:top w:w="28" w:type="dxa"/>
          <w:left w:w="28" w:type="dxa"/>
          <w:bottom w:w="28" w:type="dxa"/>
          <w:right w:w="28" w:type="dxa"/>
        </w:tblCellMar>
      </w:tblPr>
      <w:tblGrid>
        <w:gridCol w:w="904"/>
        <w:gridCol w:w="796"/>
        <w:gridCol w:w="804"/>
        <w:gridCol w:w="196"/>
        <w:gridCol w:w="571"/>
        <w:gridCol w:w="109"/>
        <w:gridCol w:w="109"/>
        <w:gridCol w:w="109"/>
        <w:gridCol w:w="109"/>
        <w:gridCol w:w="196"/>
        <w:gridCol w:w="571"/>
        <w:gridCol w:w="109"/>
        <w:gridCol w:w="109"/>
        <w:gridCol w:w="109"/>
        <w:gridCol w:w="109"/>
        <w:gridCol w:w="158"/>
        <w:gridCol w:w="158"/>
        <w:gridCol w:w="453"/>
      </w:tblGrid>
      <w:tr>
        <w:trPr/>
        <w:tc>
          <w:tcPr>
            <w:tcW w:w="90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242.2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245.5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w:t>
            </w:r>
          </w:p>
        </w:tc>
        <w:tc>
          <w:tcPr>
            <w:tcW w:w="4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Provision for income taxes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expense, net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 net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Depreciation and amortization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on disposition of business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Subtotal</w:t>
            </w:r>
          </w:p>
        </w:tc>
        <w:tc>
          <w:tcPr>
            <w:tcW w:w="7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174.0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Adjusted EBITDA </w:t>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416.2</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384.6</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w:t>
            </w:r>
            <w:r>
              <w:rPr>
                <w:color w:val="000000"/>
              </w:rPr>
              <w:t>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before="0" w:after="0"/>
        <w:jc w:val="center"/>
        <w:rPr/>
      </w:pPr>
      <w:r>
        <w:rPr/>
      </w:r>
    </w:p>
    <w:p>
      <w:pPr>
        <w:pStyle w:val="TextBody"/>
        <w:bidi w:val="0"/>
        <w:spacing w:before="0" w:after="0"/>
        <w:jc w:val="center"/>
        <w:rPr/>
      </w:pPr>
      <w:r>
        <w:rPr/>
      </w:r>
    </w:p>
    <w:tbl>
      <w:tblPr>
        <w:tblW w:w="5709" w:type="dxa"/>
        <w:jc w:val="center"/>
        <w:tblInd w:w="0" w:type="dxa"/>
        <w:tblLayout w:type="fixed"/>
        <w:tblCellMar>
          <w:top w:w="28" w:type="dxa"/>
          <w:left w:w="28" w:type="dxa"/>
          <w:bottom w:w="28" w:type="dxa"/>
          <w:right w:w="28" w:type="dxa"/>
        </w:tblCellMar>
      </w:tblPr>
      <w:tblGrid>
        <w:gridCol w:w="904"/>
        <w:gridCol w:w="796"/>
        <w:gridCol w:w="804"/>
        <w:gridCol w:w="196"/>
        <w:gridCol w:w="571"/>
        <w:gridCol w:w="109"/>
        <w:gridCol w:w="109"/>
        <w:gridCol w:w="109"/>
        <w:gridCol w:w="109"/>
        <w:gridCol w:w="196"/>
        <w:gridCol w:w="571"/>
        <w:gridCol w:w="109"/>
        <w:gridCol w:w="109"/>
        <w:gridCol w:w="109"/>
        <w:gridCol w:w="109"/>
        <w:gridCol w:w="173"/>
        <w:gridCol w:w="173"/>
        <w:gridCol w:w="453"/>
      </w:tblGrid>
      <w:tr>
        <w:trPr/>
        <w:tc>
          <w:tcPr>
            <w:tcW w:w="90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425.2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410.0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4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Provision for income taxes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expense, net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 net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Depreciation and amortization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on disposition of business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Subtotal</w:t>
            </w:r>
          </w:p>
        </w:tc>
        <w:tc>
          <w:tcPr>
            <w:tcW w:w="7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315.0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251.9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Adjusted EBITDA </w:t>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740.2</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661.9</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tbl>
      <w:tblPr>
        <w:tblW w:w="224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HUBBELL INCORPORATED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Restructuring and Related Costs Included in Consolidated Results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millions,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48"/>
        <w:gridCol w:w="1359"/>
        <w:gridCol w:w="1366"/>
        <w:gridCol w:w="196"/>
        <w:gridCol w:w="391"/>
        <w:gridCol w:w="109"/>
        <w:gridCol w:w="109"/>
        <w:gridCol w:w="109"/>
        <w:gridCol w:w="109"/>
        <w:gridCol w:w="196"/>
        <w:gridCol w:w="391"/>
        <w:gridCol w:w="109"/>
        <w:gridCol w:w="109"/>
        <w:gridCol w:w="109"/>
        <w:gridCol w:w="109"/>
        <w:gridCol w:w="196"/>
        <w:gridCol w:w="406"/>
        <w:gridCol w:w="109"/>
        <w:gridCol w:w="109"/>
        <w:gridCol w:w="109"/>
        <w:gridCol w:w="109"/>
        <w:gridCol w:w="196"/>
        <w:gridCol w:w="450"/>
        <w:gridCol w:w="109"/>
        <w:gridCol w:w="109"/>
        <w:gridCol w:w="109"/>
        <w:gridCol w:w="109"/>
        <w:gridCol w:w="196"/>
        <w:gridCol w:w="391"/>
        <w:gridCol w:w="109"/>
        <w:gridCol w:w="109"/>
        <w:gridCol w:w="109"/>
        <w:gridCol w:w="109"/>
        <w:gridCol w:w="196"/>
        <w:gridCol w:w="391"/>
        <w:gridCol w:w="156"/>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3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42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Costs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S&amp;A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Restructuring costs (GAAP Measure)</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w:t>
            </w:r>
            <w:r>
              <w:rPr>
                <w:color w:val="000000"/>
              </w:rPr>
              <w:t>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Restructuring related costs </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0.5</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Restructuring and related costs (non-GAAP measure) </w:t>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w:t>
            </w: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w:t>
            </w: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(0.7)</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w:t>
            </w: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w:t>
            </w:r>
            <w:r>
              <w:rPr>
                <w:color w:val="000000"/>
              </w:rPr>
              <w:t> </w:t>
            </w:r>
          </w:p>
        </w:tc>
        <w:tc>
          <w:tcPr>
            <w:tcW w:w="15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21"/>
        <w:gridCol w:w="1336"/>
        <w:gridCol w:w="1343"/>
        <w:gridCol w:w="196"/>
        <w:gridCol w:w="391"/>
        <w:gridCol w:w="109"/>
        <w:gridCol w:w="109"/>
        <w:gridCol w:w="109"/>
        <w:gridCol w:w="109"/>
        <w:gridCol w:w="196"/>
        <w:gridCol w:w="391"/>
        <w:gridCol w:w="109"/>
        <w:gridCol w:w="109"/>
        <w:gridCol w:w="109"/>
        <w:gridCol w:w="109"/>
        <w:gridCol w:w="196"/>
        <w:gridCol w:w="391"/>
        <w:gridCol w:w="109"/>
        <w:gridCol w:w="109"/>
        <w:gridCol w:w="109"/>
        <w:gridCol w:w="109"/>
        <w:gridCol w:w="196"/>
        <w:gridCol w:w="449"/>
        <w:gridCol w:w="109"/>
        <w:gridCol w:w="109"/>
        <w:gridCol w:w="109"/>
        <w:gridCol w:w="109"/>
        <w:gridCol w:w="196"/>
        <w:gridCol w:w="481"/>
        <w:gridCol w:w="109"/>
        <w:gridCol w:w="109"/>
        <w:gridCol w:w="109"/>
        <w:gridCol w:w="109"/>
        <w:gridCol w:w="196"/>
        <w:gridCol w:w="391"/>
        <w:gridCol w:w="155"/>
      </w:tblGrid>
      <w:tr>
        <w:trPr/>
        <w:tc>
          <w:tcPr>
            <w:tcW w:w="152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Costs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S&amp;A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Restructuring costs (GAAP Measure)</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w:t>
            </w:r>
            <w:r>
              <w:rPr>
                <w:color w:val="000000"/>
              </w:rPr>
              <w:t>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Restructuring related costs</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Restructuring and related costs (non-GAAP measure) </w:t>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w:t>
            </w: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w:t>
            </w: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w:t>
            </w: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w:t>
            </w: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w:t>
            </w:r>
            <w:r>
              <w:rPr>
                <w:color w:val="000000"/>
              </w:rPr>
              <w:t> </w:t>
            </w:r>
          </w:p>
        </w:tc>
        <w:tc>
          <w:tcPr>
            <w:tcW w:w="15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98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036"/>
        <w:gridCol w:w="1716"/>
        <w:gridCol w:w="1725"/>
        <w:gridCol w:w="231"/>
        <w:gridCol w:w="568"/>
        <w:gridCol w:w="128"/>
        <w:gridCol w:w="128"/>
        <w:gridCol w:w="128"/>
        <w:gridCol w:w="128"/>
        <w:gridCol w:w="231"/>
        <w:gridCol w:w="568"/>
        <w:gridCol w:w="128"/>
        <w:gridCol w:w="109"/>
        <w:gridCol w:w="109"/>
        <w:gridCol w:w="109"/>
        <w:gridCol w:w="217"/>
        <w:gridCol w:w="533"/>
        <w:gridCol w:w="120"/>
        <w:gridCol w:w="120"/>
        <w:gridCol w:w="120"/>
        <w:gridCol w:w="120"/>
        <w:gridCol w:w="217"/>
        <w:gridCol w:w="533"/>
        <w:gridCol w:w="183"/>
      </w:tblGrid>
      <w:tr>
        <w:trPr/>
        <w:tc>
          <w:tcPr>
            <w:tcW w:w="2036"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4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4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Restructuring and related costs included in Cost of goods sold (non-GAAP measure)</w:t>
            </w:r>
          </w:p>
        </w:tc>
        <w:tc>
          <w:tcPr>
            <w:tcW w:w="9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Utility Solutions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Electrical Solutions</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3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12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w:t>
            </w:r>
            <w:r>
              <w:rPr>
                <w:color w:val="000000"/>
              </w:rPr>
              <w:t> </w:t>
            </w:r>
          </w:p>
        </w:tc>
        <w:tc>
          <w:tcPr>
            <w:tcW w:w="12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w:t>
            </w:r>
            <w:r>
              <w:rPr>
                <w:color w:val="000000"/>
              </w:rPr>
              <w:t> </w:t>
            </w:r>
          </w:p>
        </w:tc>
        <w:tc>
          <w:tcPr>
            <w:tcW w:w="12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w:t>
            </w:r>
            <w:r>
              <w:rPr>
                <w:color w:val="000000"/>
              </w:rPr>
              <w:t> </w:t>
            </w:r>
          </w:p>
        </w:tc>
        <w:tc>
          <w:tcPr>
            <w:tcW w:w="18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Restructuring and related costs included in Selling &amp; administrative expenses (non-GAAP measure)</w:t>
            </w:r>
          </w:p>
        </w:tc>
        <w:tc>
          <w:tcPr>
            <w:tcW w:w="9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Utility Solutions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Electrical Solutions</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3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w:t>
            </w:r>
            <w:r>
              <w:rPr>
                <w:color w:val="000000"/>
              </w:rPr>
              <w:t> </w:t>
            </w:r>
          </w:p>
        </w:tc>
        <w:tc>
          <w:tcPr>
            <w:tcW w:w="12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(0.7)</w:t>
            </w:r>
          </w:p>
        </w:tc>
        <w:tc>
          <w:tcPr>
            <w:tcW w:w="12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w:t>
            </w:r>
            <w:r>
              <w:rPr>
                <w:color w:val="000000"/>
              </w:rPr>
              <w:t> </w:t>
            </w:r>
          </w:p>
        </w:tc>
        <w:tc>
          <w:tcPr>
            <w:tcW w:w="12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8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Impact on Income before income taxes (non-GAAP measure)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Impact on Net income available to Hubbell common shareholders (non-GAAP measure)</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5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Impact on Diluted earnings per share (non-GAAP measure)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0.06</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0.05</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0.10</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HUBBELL INCORPORATED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Additional Non-GAAP Financial Measures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millions)</w:t>
      </w:r>
    </w:p>
    <w:p>
      <w:pPr>
        <w:pStyle w:val="TextBody"/>
        <w:bidi w:val="0"/>
        <w:spacing w:lineRule="auto" w:line="288" w:before="240" w:after="283"/>
        <w:jc w:val="left"/>
        <w:rPr>
          <w:rFonts w:ascii="Times New Roman;serif" w:hAnsi="Times New Roman;serif"/>
          <w:b/>
          <w:color w:val="000000"/>
          <w:sz w:val="24"/>
          <w:u w:val="single"/>
        </w:rPr>
      </w:pPr>
      <w:r>
        <w:rPr>
          <w:rFonts w:ascii="Times New Roman;serif" w:hAnsi="Times New Roman;serif"/>
          <w:b/>
          <w:color w:val="000000"/>
          <w:sz w:val="24"/>
          <w:u w:val="single"/>
        </w:rPr>
        <w:t>Ratios of Total Debt to Total Capital and Net Debt to Total Capital</w:t>
      </w:r>
    </w:p>
    <w:p>
      <w:pPr>
        <w:pStyle w:val="TextBody"/>
        <w:bidi w:val="0"/>
        <w:spacing w:before="0" w:after="0"/>
        <w:jc w:val="left"/>
        <w:rPr/>
      </w:pPr>
      <w:r>
        <w:rPr/>
      </w:r>
    </w:p>
    <w:tbl>
      <w:tblPr>
        <w:tblW w:w="7117" w:type="dxa"/>
        <w:jc w:val="left"/>
        <w:tblInd w:w="0" w:type="dxa"/>
        <w:tblLayout w:type="fixed"/>
        <w:tblCellMar>
          <w:top w:w="28" w:type="dxa"/>
          <w:left w:w="28" w:type="dxa"/>
          <w:bottom w:w="28" w:type="dxa"/>
          <w:right w:w="28" w:type="dxa"/>
        </w:tblCellMar>
      </w:tblPr>
      <w:tblGrid>
        <w:gridCol w:w="1372"/>
        <w:gridCol w:w="1208"/>
        <w:gridCol w:w="1214"/>
        <w:gridCol w:w="196"/>
        <w:gridCol w:w="706"/>
        <w:gridCol w:w="286"/>
        <w:gridCol w:w="109"/>
        <w:gridCol w:w="109"/>
        <w:gridCol w:w="109"/>
        <w:gridCol w:w="255"/>
        <w:gridCol w:w="918"/>
        <w:gridCol w:w="372"/>
        <w:gridCol w:w="109"/>
        <w:gridCol w:w="154"/>
      </w:tblGrid>
      <w:tr>
        <w:trPr/>
        <w:tc>
          <w:tcPr>
            <w:tcW w:w="137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Debt (GAAP measure)</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5,372.6</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2,325.4</w:t>
            </w:r>
            <w:r>
              <w:rPr>
                <w:color w:val="000000"/>
              </w:rPr>
              <w:t> </w:t>
            </w:r>
          </w:p>
        </w:tc>
        <w:tc>
          <w:tcPr>
            <w:tcW w:w="37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Hubbell Shareholders’ Equity</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3,911.9</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3,847.9</w:t>
            </w:r>
            <w:r>
              <w:rPr>
                <w:color w:val="000000"/>
              </w:rPr>
              <w:t>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Capital</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9,284.5</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6,173.3</w:t>
            </w:r>
            <w:r>
              <w:rPr>
                <w:color w:val="000000"/>
              </w:rPr>
              <w:t> </w:t>
            </w:r>
          </w:p>
        </w:tc>
        <w:tc>
          <w:tcPr>
            <w:tcW w:w="37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Debt to Total Capital (GAAP measure)</w:t>
            </w:r>
          </w:p>
        </w:tc>
        <w:tc>
          <w:tcPr>
            <w:tcW w:w="90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w:t>
            </w:r>
            <w:r>
              <w:rPr>
                <w:color w:val="000000"/>
              </w:rPr>
              <w:t>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w:t>
            </w:r>
            <w:r>
              <w:rPr>
                <w:color w:val="000000"/>
              </w:rPr>
              <w:t> </w:t>
            </w:r>
          </w:p>
        </w:tc>
        <w:tc>
          <w:tcPr>
            <w:tcW w:w="37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Less: Cash and Investments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498.4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596.3</w:t>
            </w: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Debt (non-GAAP measure)</w:t>
            </w:r>
          </w:p>
        </w:tc>
        <w:tc>
          <w:tcPr>
            <w:tcW w:w="196"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4,874.2</w:t>
            </w:r>
            <w:r>
              <w:rPr>
                <w:color w:val="000000"/>
              </w:rPr>
              <w:t> </w:t>
            </w:r>
          </w:p>
        </w:tc>
        <w:tc>
          <w:tcPr>
            <w:tcW w:w="28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8"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1,729.1</w:t>
            </w:r>
            <w:r>
              <w:rPr>
                <w:color w:val="000000"/>
              </w:rPr>
              <w:t> </w:t>
            </w:r>
          </w:p>
        </w:tc>
        <w:tc>
          <w:tcPr>
            <w:tcW w:w="372"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Debt to Total Capital (non-GAAP measure)</w:t>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w:t>
            </w:r>
            <w:r>
              <w:rPr>
                <w:color w:val="000000"/>
              </w:rPr>
              <w:t>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w:t>
            </w:r>
            <w:r>
              <w:rPr>
                <w:color w:val="000000"/>
              </w:rPr>
              <w:t> </w:t>
            </w:r>
          </w:p>
        </w:tc>
        <w:tc>
          <w:tcPr>
            <w:tcW w:w="37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left"/>
        <w:rPr/>
      </w:pPr>
      <w:r>
        <w:rPr/>
      </w:r>
    </w:p>
    <w:p>
      <w:pPr>
        <w:pStyle w:val="TextBody"/>
        <w:bidi w:val="0"/>
        <w:spacing w:lineRule="auto" w:line="288" w:before="240" w:after="283"/>
        <w:jc w:val="left"/>
        <w:rPr>
          <w:rFonts w:ascii="Times New Roman;serif" w:hAnsi="Times New Roman;serif"/>
          <w:b/>
          <w:color w:val="FFFFFF"/>
          <w:sz w:val="24"/>
          <w:u w:val="single"/>
        </w:rPr>
      </w:pPr>
      <w:r>
        <w:rPr>
          <w:rFonts w:ascii="Times New Roman;serif" w:hAnsi="Times New Roman;serif"/>
          <w:b/>
          <w:color w:val="FFFFFF"/>
          <w:sz w:val="24"/>
          <w:u w:val="single"/>
        </w:rPr>
        <w:t>Free Cash Flow Reconciliation</w:t>
      </w:r>
    </w:p>
    <w:p>
      <w:pPr>
        <w:pStyle w:val="TextBody"/>
        <w:bidi w:val="0"/>
        <w:spacing w:lineRule="auto" w:line="288" w:before="240" w:after="283"/>
        <w:jc w:val="left"/>
        <w:rPr/>
      </w:pPr>
      <w:r>
        <w:rPr>
          <w:rFonts w:ascii="Times New Roman;serif" w:hAnsi="Times New Roman;serif"/>
          <w:b/>
          <w:color w:val="000000"/>
          <w:sz w:val="24"/>
          <w:u w:val="single"/>
        </w:rPr>
        <w:t>Free Cash Flow Reconciliation</w:t>
      </w:r>
      <w:r>
        <w:rPr>
          <w:color w:val="FFFFFF"/>
          <w:u w:val="single"/>
        </w:rPr>
        <w:t xml:space="preserve"> </w:t>
      </w:r>
      <w:r>
        <w:rPr>
          <w:rFonts w:ascii="Times New Roman;serif" w:hAnsi="Times New Roman;serif"/>
          <w:b/>
          <w:color w:val="FFFFFF"/>
          <w:sz w:val="24"/>
          <w:u w:val="single"/>
        </w:rPr>
        <w:t>Flow Reconciliation</w:t>
      </w:r>
    </w:p>
    <w:tbl>
      <w:tblPr>
        <w:tblW w:w="9653" w:type="dxa"/>
        <w:jc w:val="left"/>
        <w:tblInd w:w="0" w:type="dxa"/>
        <w:tblLayout w:type="fixed"/>
        <w:tblCellMar>
          <w:top w:w="28" w:type="dxa"/>
          <w:left w:w="28" w:type="dxa"/>
          <w:bottom w:w="28" w:type="dxa"/>
          <w:right w:w="28" w:type="dxa"/>
        </w:tblCellMar>
      </w:tblPr>
      <w:tblGrid>
        <w:gridCol w:w="1668"/>
        <w:gridCol w:w="1463"/>
        <w:gridCol w:w="1474"/>
        <w:gridCol w:w="230"/>
        <w:gridCol w:w="671"/>
        <w:gridCol w:w="128"/>
        <w:gridCol w:w="128"/>
        <w:gridCol w:w="128"/>
        <w:gridCol w:w="128"/>
        <w:gridCol w:w="230"/>
        <w:gridCol w:w="671"/>
        <w:gridCol w:w="128"/>
        <w:gridCol w:w="109"/>
        <w:gridCol w:w="109"/>
        <w:gridCol w:w="109"/>
        <w:gridCol w:w="210"/>
        <w:gridCol w:w="613"/>
        <w:gridCol w:w="117"/>
        <w:gridCol w:w="117"/>
        <w:gridCol w:w="117"/>
        <w:gridCol w:w="117"/>
        <w:gridCol w:w="210"/>
        <w:gridCol w:w="613"/>
        <w:gridCol w:w="165"/>
      </w:tblGrid>
      <w:tr>
        <w:trPr/>
        <w:tc>
          <w:tcPr>
            <w:tcW w:w="166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 (GAAP measure)</w:t>
            </w:r>
          </w:p>
        </w:tc>
        <w:tc>
          <w:tcPr>
            <w:tcW w:w="23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249.8</w:t>
            </w:r>
            <w:r>
              <w:rPr>
                <w:color w:val="000000"/>
              </w:rPr>
              <w:t> </w:t>
            </w:r>
          </w:p>
        </w:tc>
        <w:tc>
          <w:tcPr>
            <w:tcW w:w="1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260.6</w:t>
            </w:r>
            <w:r>
              <w:rPr>
                <w:color w:val="000000"/>
              </w:rPr>
              <w:t> </w:t>
            </w:r>
          </w:p>
        </w:tc>
        <w:tc>
          <w:tcPr>
            <w:tcW w:w="1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336.4</w:t>
            </w:r>
            <w:r>
              <w:rPr>
                <w:color w:val="000000"/>
              </w:rPr>
              <w:t> </w:t>
            </w:r>
          </w:p>
        </w:tc>
        <w:tc>
          <w:tcPr>
            <w:tcW w:w="11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298.0</w:t>
            </w:r>
            <w:r>
              <w:rPr>
                <w:color w:val="000000"/>
              </w:rPr>
              <w:t> </w:t>
            </w:r>
          </w:p>
        </w:tc>
        <w:tc>
          <w:tcPr>
            <w:tcW w:w="16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Less: Capital expenditures</w:t>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(37.0)</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(39.9)</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(77.6)</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(65.9)</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Free cash flow (non-GAAP measure)</w:t>
            </w:r>
          </w:p>
        </w:tc>
        <w:tc>
          <w:tcPr>
            <w:tcW w:w="23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212.8</w:t>
            </w:r>
            <w:r>
              <w:rPr>
                <w:color w:val="000000"/>
              </w:rPr>
              <w:t> </w:t>
            </w:r>
          </w:p>
        </w:tc>
        <w:tc>
          <w:tcPr>
            <w:tcW w:w="12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220.7</w:t>
            </w:r>
            <w:r>
              <w:rPr>
                <w:color w:val="000000"/>
              </w:rPr>
              <w:t> </w:t>
            </w:r>
          </w:p>
        </w:tc>
        <w:tc>
          <w:tcPr>
            <w:tcW w:w="12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258.8</w:t>
            </w:r>
            <w:r>
              <w:rPr>
                <w:color w:val="000000"/>
              </w:rPr>
              <w:t> </w:t>
            </w:r>
          </w:p>
        </w:tc>
        <w:tc>
          <w:tcPr>
            <w:tcW w:w="11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232.1</w:t>
            </w:r>
            <w:r>
              <w:rPr>
                <w:color w:val="000000"/>
              </w:rPr>
              <w:t> </w:t>
            </w:r>
          </w:p>
        </w:tc>
        <w:tc>
          <w:tcPr>
            <w:tcW w:w="16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6479</Words>
  <Characters>36158</Characters>
  <CharactersWithSpaces>41925</CharactersWithSpaces>
  <Paragraphs>1435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