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727d8k.htm"/>
      <w:bookmarkStart w:id="1" w:name="ksd1037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June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HUBBELL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Connecticut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1-2958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06-0397030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 Waterview Drive</w:t>
            </w:r>
          </w:p>
          <w:p>
            <w:pPr>
              <w:pStyle w:val="TableContents"/>
              <w:bidi w:val="0"/>
              <w:spacing w:before="0" w:after="20"/>
              <w:jc w:val="center"/>
              <w:rPr>
                <w:rFonts w:ascii="Times New Roman" w:hAnsi="Times New Roman"/>
                <w:b/>
                <w:sz w:val="20"/>
              </w:rPr>
            </w:pPr>
            <w:r>
              <w:rPr>
                <w:rFonts w:ascii="Times New Roman" w:hAnsi="Times New Roman"/>
                <w:b/>
                <w:sz w:val="20"/>
              </w:rPr>
              <w:t>Shelton,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06484</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(475) 882-4000</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4100"/>
        <w:gridCol w:w="60"/>
        <w:gridCol w:w="740"/>
        <w:gridCol w:w="60"/>
        <w:gridCol w:w="266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2, 2026, Hubbell Incorporated (“Hubbell”) entered into an underwriting agreement (the “Underwriting Agreement”) with J.P. Morgan Securities LLC, BofA Securities, Inc. and HSBC Securities (USA) Inc., as representatives of the several underwriters named in Schedule I thereto (collectively, the “Underwriters”), relating to Hubbell’s public offering of $500,000,000 aggregate principal amount of its 4.650% Senior Notes due 2031 (the “2031 Notes”), $700,000,000 aggregate principal amount of its 4.900% Senior Notes due 2033 (the “2033 Notes”) and $700,000,000 aggregate principal amount of its 5.150% Senior Notes due 2036 (the “2036 Notes” and, together with the 2031 Notes and the 2033 Notes, the “Notes”). The offering of the Notes was made pursuant to Hubbell’s shelf registration statement on Form S-3 (Registration No. 333-289041), which became automatically effective upon filing with the U.S. Securities and Exchange Commission (the “SEC”) on July 29, 2025, and a preliminary prospectus supplement and prospectus supplement filed with the SEC related to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Underwriting Agreement, Hubbell agreed to sell the Notes to the Underwriters and the Underwriters agreed to purchase the Notes for resale to the public. The Underwriting Agreement includes customary representations, warranties and covenants by Hubbell. The Underwriting Agreement also provides for customary indemnification by each of Hubbell and the Underwriters against certain liabilities and customary contribution provisions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offering of the Notes were approximately $1,869.6 million after deducting the underwriting discount and estimated offering expenses payable by Hubbell. Hubbell expects to use the net proceeds from the offering of the Notes, together with cash on hand and/or additional borrowings (including under its previously announced 2026 term loan facility and/or issuances of commercial paper) to fund in part the previously announced acquisition of NSI Electrical Buyer, Inc., a Delaware corporation (“NSI Industries”, and such transaction, the “NSI Acquisition”), to repay certain indebtedness of NSI Industries and its subsidiaries, and to pay fees, costs and expenses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on June 8, 2026 under the Indenture, dated as of September 15, 1995 (the “Base Indenture”), between Hubbell and The Bank of New York Mellon Trust Company, N.A. (formerly known as The Bank of New York Trust Company, N.A. (successor as trustee to JPMorgan Chase Bank, N.A. (formerly known as JPMorgan Chase Bank, formerly known as The Chase Manhattan Bank, formerly known as Chemical Bank))), as trustee, as amended and supplemented by the Eighth Supplemental Indenture, dated as of June 8, 2026 (the “Eighth Supplemental Indenture,” and the Base Indenture as heretofore supplemented and as supplemented by the Eighth Supplemental Indenture, the “New Notes Indenture”), between Hubbell and U.S. Bank Trust Company, National Association, as trustee.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will mature on June 15, 2031, the 2033 Notes will mature on June 15, 2033 and the 2036 Notes will mature on June 15, 2036. Interest on the Notes will be payable semi-annually in arrears on June 15 and December 15 of each year, beginning on December 15, 2026. </w:t>
      </w:r>
    </w:p>
    <w:p>
      <w:pPr>
        <w:pStyle w:val="TextBody"/>
        <w:bidi w:val="0"/>
        <w:spacing w:before="240" w:after="0"/>
        <w:jc w:val="left"/>
        <w:rPr>
          <w:rFonts w:ascii="Times New Roman" w:hAnsi="Times New Roman"/>
          <w:sz w:val="20"/>
        </w:rPr>
      </w:pPr>
      <w:r>
        <w:rPr>
          <w:rFonts w:ascii="Times New Roman" w:hAnsi="Times New Roman"/>
          <w:sz w:val="20"/>
        </w:rPr>
        <w:t xml:space="preserve">Hubbell may redeem all or part of each series of the Notes at any time prior to maturity at the redemption prices set forth in the New Notes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NSI Acquisition is not consummated on or prior to the date that is five business days after the later of (i) May 1, 2027 or (ii) any later date as the parties to the purchase agreement related to the NSI Acquisition may agree as the “Outside Date” thereunder, or Hubbell notifies the trustee in writing that Hubbell will not pursue the consummation of the NSI Acquisition, Hubbell will be required to redeem the Notes then outstanding at a redemption price equal to 101% of the aggregate principal amount of the Notes plus accrued and unpaid interest, if any, to, but excluding, the special mandatory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triggering event (as defined in the Eighth Supplemental Indenture), the holders of the Notes may require Hubbell to purchase for cash all or a portion of their Notes at a purchase price equal to 101% of the principal amount of the Notes, plus accrued and unpaid interest, if any, on the notes repurchased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Hubbell’s unsecured, unsubordinated obligations, ranking equally in right of payment with Hubbell’s other existing and future unsecured, unsubordinated indebtedness from time to time outstanding, and effectively subordinated in right of payment to all of Hubbell’s current and future secured indebtedness to the extent of the value of the assets securing such indebtedness. The Notes will be exclusively obligations of Hubbell and will not be guaranteed by any of its subsidiaries. As a result, the Notes will be structurally subordinated to existing or future preferred stock, indebtedness, guarantees and other liabilities, including trade payables,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New Notes Indenture also contains customary covenant and event of default provisions.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the prospectus supplement filed with the SEC for additional information regarding the offering and the terms and conditions of the Notes. The foregoing summary of the Underwriting Agreement and the Notes does not purport to be complete and is qualified in its entirety by reference to the full text of the Underwriting Agreement, the Base Indenture, the Eighth Supplemental Indenture and the forms of the Notes, which are attached to this Current Report on Form 8-K as Exhibits 1.1, 4.1, 4.2 and 4.3 through 4.5, respectively, and are incorporated into this Item 1.01 by reference.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28"/>
        <w:gridCol w:w="9277"/>
      </w:tblGrid>
      <w:tr>
        <w:trPr/>
        <w:tc>
          <w:tcPr>
            <w:tcW w:w="928" w:type="dxa"/>
            <w:tcBorders/>
            <w:vAlign w:val="center"/>
          </w:tcPr>
          <w:p>
            <w:pPr>
              <w:pStyle w:val="TableContents"/>
              <w:bidi w:val="0"/>
              <w:spacing w:before="0" w:after="283"/>
              <w:jc w:val="left"/>
              <w:rPr>
                <w:b/>
              </w:rPr>
            </w:pPr>
            <w:r>
              <w:rPr>
                <w:b/>
              </w:rPr>
              <w:t>Item 2.03</w:t>
            </w:r>
          </w:p>
        </w:tc>
        <w:tc>
          <w:tcPr>
            <w:tcW w:w="927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pertaining to the Notes is incorporated into this Item 2.03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2, 2026, the Company issued a press release announcing the pricing of the Notes, which is filed as Exhibit 99.1 to this Current Report on Form 8-K and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
        <w:gridCol w:w="120"/>
        <w:gridCol w:w="92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2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11.htm">
              <w:r>
                <w:rPr>
                  <w:rStyle w:val="InternetLink"/>
                </w:rPr>
                <w:t xml:space="preserve">Underwriting Agreement, dated as of June 2, 2026, among Hubbell Incorporated and J.P. Morgan Securities LLC, BofA Securities, Inc. and HSBC Securities (USA) Inc., as Representatives of the several Underwriters listed in Schedule I thereto.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r:id="rId2">
              <w:r>
                <w:rPr>
                  <w:rStyle w:val="InternetLink"/>
                </w:rPr>
                <w:t xml:space="preserve">Indenture, dated as of September 15, 1995, between Hubbell Incorporated and The Bank of New York Mellon Trust Company, N.A. (formerly known as The Bank of New York Trust Company, N.A. (successor as trustee to JPMorgan Chase Bank, N.A. (formerly known as JPMorgan Chase Bank, formerly known as The Chase Manhattan Bank, formerly known as Chemical Bank))), as trustee (incorporated by reference to Exhibit 4a to Hubbell Incorporated’s registration statement on Form S-4 (File Number 333-90754), filed with the SEC on June 18, 2002).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42.htm">
              <w:r>
                <w:rPr>
                  <w:rStyle w:val="InternetLink"/>
                </w:rPr>
                <w:t xml:space="preserve">Eighth Supplemental Indenture, dated as of June 8, 2026, between Hubbell Incorporated and U.S. Bank Trust Company, National Association, as trustee.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42.htm">
              <w:r>
                <w:rPr>
                  <w:rStyle w:val="InternetLink"/>
                </w:rPr>
                <w:t xml:space="preserve">Form of 4.650% Senior Notes due 2031 (included in Exhibit 4.2).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42.htm">
              <w:r>
                <w:rPr>
                  <w:rStyle w:val="InternetLink"/>
                </w:rPr>
                <w:t xml:space="preserve">Form of 4.900% Senior Notes due 2033 (included in Exhibit 4.2).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42.htm">
              <w:r>
                <w:rPr>
                  <w:rStyle w:val="InternetLink"/>
                </w:rPr>
                <w:t xml:space="preserve">Form of 5.150% Senior Notes due 2036 (included in Exhibit 4.2).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51.htm">
              <w:r>
                <w:rPr>
                  <w:rStyle w:val="InternetLink"/>
                </w:rPr>
                <w:t xml:space="preserve">Opinion of Wachtell, Lipton, Rosen &amp; Katz, dated June 8,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52.htm">
              <w:r>
                <w:rPr>
                  <w:rStyle w:val="InternetLink"/>
                </w:rPr>
                <w:t xml:space="preserve">Opinion of Robinson &amp; Cole LLP, dated June 8,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51.htm">
              <w:r>
                <w:rPr>
                  <w:rStyle w:val="InternetLink"/>
                </w:rPr>
                <w:t xml:space="preserve">Consent of Wachtell, Lipton, Rosen &amp; Katz, dated June 8, 2026 (included in Exhibit 5.1).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52.htm">
              <w:r>
                <w:rPr>
                  <w:rStyle w:val="InternetLink"/>
                </w:rPr>
                <w:t xml:space="preserve">Consent of Robinson &amp; Cole LLP, dated June 8, 2026 (included in Exhibit 5.2).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03727dex991.htm">
              <w:r>
                <w:rPr>
                  <w:rStyle w:val="InternetLink"/>
                </w:rPr>
                <w:t xml:space="preserve">Press release of Hubbell Incorporated, issued on June 2,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Information Concerning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Current Report on Form 8-K may constitute forward-looking statements within the meaning of the Private Securities Litigation Reform Act of 1995. These include statements concerning certain plans, expectations, goals, projections, and statements about the benefits of the NSI Acquisition, Hubbell’s plans, objectives, expectations and intentions, the expected timing of completion of the NSI Acquisition and funding of the related loans, and other statements that are not strictly historic in nature. These statements may be identified by the use of forward-looking words or phrases such as “believe”, “expect”, “anticipate”, “intend”, “depend”, “plan”, “estimated”, “predict”, “target”, “should”, “could”, “may”, “subject to”, “continues”, “growing”, “prospective”, “forecast”, “projected”, “purport”, “might”, “if”, “contemplate”, “potential”, “pending”, “goals”, “scheduled”, “will”, “will likely be”, and similar words and phrases. Such forward-looking statements are based on our current expectations and involve numerous assumptions, known and unknown risks, uncertainties and other factors which may cause actual and future performance or Hubbell’s achievements to be materially different from any future results, performance, or achievements expressed or implied by such forward-looking statements. Such factors include, but are not limited to: the impact of and substantial uncertainty regarding the duration of existing and newly announced trade tariffs, import quotas or other trade actions,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 the general impact of inflation on our business, including the impact on raw materials costs, elevated interest rates and increased energy costs and our ability to implement and maintain pricing actions that we have taken to cover higher costs and protect our margin profile; economic and business conditions in particular industries, markets or geographic regions, as well the potential for macro-economic effects of the U.S. government federal deficit, and continued inflation, a significant economic slowdown, stagflation or recession; effects of unfavorable foreign currency exchange rates and the potential use of hedging instruments to hedge the exposure to fluctuating rates of foreign currency exchange on inventory purchases; supply chain disruptions and availability, costs and quantity of raw materials, purchased components, energy and freight; changes in demand for our products, market conditions, product quality, or product availability adversely affecting sales levels; ability to effectively develop and introduce new products; changes in markets or competition adversely affecting realization of price increases; continued softness in the grid automation market of Utility Solutions and residential market of Electrical Solutions; failure to achieve projected levels of efficiencies, and maintain cost savings and cost reduction measures, including those expected as a result of our lean initiatives and strategic sourcing plans; failure to comply with import and export laws; changes relating to impairment of our goodwill and other intangible assets; inability to access capital markets or failure to maintain our credit ratings; changes in expected or future levels of operating cash flow, indebtedness and capital spending; regulatory issues, and extensive worldwide changes to the taxation of multinational enterprises, including global minimum tax rules under the Organisation for Economic Co-operation and Development’s Pillar Two initiative and potential modifications to corporate taxation by the U.S. government, including adjustments to tax rates, deduction limitations, cross-border tax provisions, and administrative guidance; a major disruption in one or more of our manufacturing or distribution facilities or headquarters, including the impact of plant consolidations and relocations; changes in our relationships with, or the financial condition or performance of, key distributors and other customers, agents or business partners which could adversely affect our results of operations; the impact of productivity improvements on lead times, quality and delivery of product; anticipated future contributions and assumptions including increases in interest rates and changes in plan assets with respect to pensions and other retirement benefits, as well as pension withdrawal liabilities; adjustments to product warranty accruals in response to claims incurred, historical experiences and known costs; unexpected costs or charges, certain of which might be outside of our control; changes in strategy due to economic conditions or other conditions outside of our control affecting anticipated future global product sourcing levels; ability to carry out future acquisitions and strategic investments in our core businesses as well as the acquisition related costs; the ability of government customers to meet their financial obligations; political unrest and military actions in foreign countries, including the conflicts in Ukraine and the Middle East and trade tensions with China, as well as the impact on world markets and energy supplies and prices resulting therefrom, including the U.S.-Israel-Iran conflict, which has had substantial effects on global trade, the energy markets and the financial markets; the impact of potential natural disasters or additional public health emergencies on our financial condition and results of operations; 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 incurring significant and/or unexpected costs to avoid, manage, defend and litigate intellectual property matters; future repurchases of common stock under our common stock repurchase program; changes in accounting principles, interpretations, or estimates; failure to comply with any laws and regulations, including those related to data privacy and information security; the outcome of environmental, legal and tax contingencies or costs compared to amounts provided for such contingencies; improper conduct by any of our employees, agents or business partners that damages our reputation or subjects us to civil or criminal liability; our ability to hire, retain and develop qualified personnel; the ability to successfully manage and integrate acquired businesses, such as the acquisitions of Alliance USAcqCo 2, Inc. (the Ventev business), Nicor, Inc. (the Nicor business), and Power Rose Acquisition, Inc. (the DMC Power business),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 the impact of certain divestitures, including the benefits and costs of the sale of the residential lighting business; the ability to effectively implement Enterprise Resource Planning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systems without disrupting operational and financial processes; Hubbell’s ability to complete the NSI Acquisition on the proposed terms or on the anticipated timeline, or at all; failure to achieve the anticipated benefits from the NSI Acquisition; other risks related to the completion of the NSI Acquisition and actions related thereto, including transaction costs and/or unknown or inestimable liabilities; risk factors related to the integration of NSI and the future opportunities and plans for the combined company; and other factors described in our Securities and Exchange Commission filings, including in the “Business”, “Risk Factors”, “Management’s Discussion and Analysis of Financial Condition and Results of Operations”, “Forward-Looking Statements”, and “Quantitative and Qualitative Disclosures about Market Risk” sections in our Annual Report on Form 10-K for the year ended December 31, 2025 and Quarterly Reports on Form 10-Q. Any such forward-looking statements are not guarantees of future performance and actual results, developments and business decisions may differ from those contemplated by such forward-looking statements. Hubbell disclaims any duty to update any forward-looking statement, all of which are expressly qualified by the foregoing, other than as required by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58"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527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95" w:type="dxa"/>
            <w:gridSpan w:val="3"/>
            <w:tcBorders/>
            <w:vAlign w:val="center"/>
          </w:tcPr>
          <w:p>
            <w:pPr>
              <w:pStyle w:val="TableContents"/>
              <w:bidi w:val="0"/>
              <w:spacing w:before="0" w:after="283"/>
              <w:jc w:val="left"/>
              <w:rPr>
                <w:b/>
              </w:rPr>
            </w:pPr>
            <w:r>
              <w:rPr>
                <w:b/>
              </w:rPr>
              <w:t>HUBBELL INCORPORATED</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3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Katherine A. Lane</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Name: Katherine A. Lane</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 Executive Vice President, General Counsel and Secretary</w:t>
            </w:r>
          </w:p>
        </w:tc>
      </w:tr>
    </w:tbl>
    <w:p>
      <w:pPr>
        <w:pStyle w:val="TextBody"/>
        <w:bidi w:val="0"/>
        <w:spacing w:before="0" w:after="0"/>
        <w:jc w:val="right"/>
        <w:rPr>
          <w:rFonts w:ascii="Times New Roman" w:hAnsi="Times New Roman"/>
          <w:b/>
          <w:sz w:val="20"/>
        </w:rPr>
      </w:pPr>
      <w:bookmarkStart w:id="2" w:name="d103727dex11.htm"/>
      <w:bookmarkStart w:id="3" w:name="ksd103727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$1,900,000,000 </w:t>
      </w:r>
    </w:p>
    <w:p>
      <w:pPr>
        <w:pStyle w:val="TextBody"/>
        <w:bidi w:val="0"/>
        <w:spacing w:before="120" w:after="0"/>
        <w:jc w:val="center"/>
        <w:rPr>
          <w:rFonts w:ascii="Times New Roman" w:hAnsi="Times New Roman"/>
          <w:sz w:val="20"/>
        </w:rPr>
      </w:pPr>
      <w:r>
        <w:rPr>
          <w:rFonts w:ascii="Times New Roman" w:hAnsi="Times New Roman"/>
          <w:sz w:val="20"/>
        </w:rPr>
        <w:t xml:space="preserve">HUBBELL INCORPORATED </w:t>
      </w:r>
    </w:p>
    <w:p>
      <w:pPr>
        <w:pStyle w:val="TextBody"/>
        <w:bidi w:val="0"/>
        <w:spacing w:before="120" w:after="0"/>
        <w:jc w:val="center"/>
        <w:rPr>
          <w:rFonts w:ascii="Times New Roman" w:hAnsi="Times New Roman"/>
          <w:sz w:val="20"/>
        </w:rPr>
      </w:pPr>
      <w:r>
        <w:rPr>
          <w:rFonts w:ascii="Times New Roman" w:hAnsi="Times New Roman"/>
          <w:sz w:val="20"/>
        </w:rPr>
        <w:t xml:space="preserve">4.650% Senior Notes due 2031 </w:t>
      </w:r>
    </w:p>
    <w:p>
      <w:pPr>
        <w:pStyle w:val="TextBody"/>
        <w:bidi w:val="0"/>
        <w:spacing w:before="120" w:after="0"/>
        <w:jc w:val="center"/>
        <w:rPr>
          <w:rFonts w:ascii="Times New Roman" w:hAnsi="Times New Roman"/>
          <w:sz w:val="20"/>
        </w:rPr>
      </w:pPr>
      <w:r>
        <w:rPr>
          <w:rFonts w:ascii="Times New Roman" w:hAnsi="Times New Roman"/>
          <w:sz w:val="20"/>
        </w:rPr>
        <w:t xml:space="preserve">4.900% Senior Notes due 2033 </w:t>
      </w:r>
    </w:p>
    <w:p>
      <w:pPr>
        <w:pStyle w:val="TextBody"/>
        <w:bidi w:val="0"/>
        <w:spacing w:before="120" w:after="0"/>
        <w:jc w:val="center"/>
        <w:rPr>
          <w:rFonts w:ascii="Times New Roman" w:hAnsi="Times New Roman"/>
          <w:sz w:val="20"/>
        </w:rPr>
      </w:pPr>
      <w:r>
        <w:rPr>
          <w:rFonts w:ascii="Times New Roman" w:hAnsi="Times New Roman"/>
          <w:sz w:val="20"/>
        </w:rPr>
        <w:t xml:space="preserve">5.150% Senior Notes due 2036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June 2,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HSBC Securities (USA)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HSBC Securities (USA) Inc. </w:t>
      </w:r>
    </w:p>
    <w:p>
      <w:pPr>
        <w:pStyle w:val="TextBody"/>
        <w:bidi w:val="0"/>
        <w:spacing w:before="0" w:after="0"/>
        <w:jc w:val="left"/>
        <w:rPr>
          <w:rFonts w:ascii="Times New Roman" w:hAnsi="Times New Roman"/>
          <w:sz w:val="20"/>
        </w:rPr>
      </w:pPr>
      <w:r>
        <w:rPr>
          <w:rFonts w:ascii="Times New Roman" w:hAnsi="Times New Roman"/>
          <w:sz w:val="20"/>
        </w:rPr>
        <w:t xml:space="preserve">66 Hudson Boulevard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Hubbell Incorporated, a Connecticut corporation (the “Company”), proposes to issue and sell to the several Underwriters listed in Schedule I hereto (the “Underwriters”), for whom you are acting as representatives (the “Representatives”), $500,000,000 principal amount of its 4.650% Senior Notes due 2031 (the “2031 Notes”), $700,000,000 principal amount of its 4.900% Senior Notes due 2033 (the “2033 Notes”), and $700,000,000 principal amount of its 5.150% Senior Notes due 2036 (the “2036 Notes” and together with the 2031 Notes and the 2033 Notes, the “Securities”). The Securities will be issued pursuant to an Indenture, dated as of September 15, 1995 (the “Base Indenture”), between the Company and The Bank of New York Mellon Trust Company, N.A. (formerly known as The Bank of New York Trust Company, N.A. (successor as trustee to JPMorgan Chase Bank, N.A., The Chase Manhattan Bank and Chemical Bank)), as trustee, as amended and supplemented by the Eighth Supplemental Indenture to be dated as of June 8, 2026 by and between the Company and U.S. Bank Trust Company, National Association, as trustee (the “Trustee”) (the “Eighth Supplemental Indenture” and, the Base Indenture as amended and supplemented by the Eighth Supplemental Indenture,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U.S. Securities and Exchange Commission (the “Commission”) under the Securities Act of 1933, as amended, and the rules and regulations of the Commission thereunder (collectively, the “Securities Act”), a registration statement on Form S-3 (File No. 333-289041), including a prospectus, relating to the Securities. Such registration statement,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Securities. Any reference in this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by the Company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4:00 p.m. (New York City time) on June 2, 2026, the time when sales of the Securities were first made (the “Time of Sale”), the Company had prepared the following information (collectively, the “Time of Sale Information”): a Preliminary Prospectus dated June 2, 2026, and each “free-writing prospectus” (as defined pursuant to Rule 405 under the Securities Act) listed on Annex A hereto.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Securities by the Underwriters</w:t>
      </w:r>
      <w:r>
        <w:rPr>
          <w:rFonts w:ascii="Times New Roman" w:hAnsi="Times New Roman"/>
          <w:sz w:val="20"/>
        </w:rPr>
        <w:t xml:space="preserve">.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I hereto at a price equal to 98.869% of the principal amount thereof in the case of the 2031 Notes, 98.753% of the principal amount thereof in the case of the of the 2033 Notes, and 98.570% of the principal amount thereof in the case of the 2036 Notes, plus accrued interest, if any, from June 8, 2026, to the Closing Date (as defined below). The Company will not be obligated to deliver any of the Securities except upon payment for all the Securities to be purchased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Times New Roman" w:hAnsi="Times New Roman"/>
          <w:sz w:val="20"/>
        </w:rPr>
      </w:pPr>
      <w:r>
        <w:rPr>
          <w:rFonts w:ascii="Times New Roman" w:hAnsi="Times New Roman"/>
          <w:sz w:val="20"/>
        </w:rPr>
        <w:t xml:space="preserve">(b) Payment for and delivery of the Securities will be made at the offices of Davis Polk &amp; Wardwell LLP at 10:00 a.m. (New York City time) on June 8, 2026, or at such other time or place on the same or such other date, not later than the fifth business day thereafter, as the Company and the Representatives may agree upon in writing. The time and date of such payment and delivery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Securities shall be made by wire transfer in immediately available funds to the account(s) specified by the Company to the Representatives against delivery to the nominee of The Depository Trust Company (“DTC”), for the account of the Underwriters, of one or more global notes representing the Securities (collectively, the “Global Note”), with any transfer taxes payable in connection with the sale of the Securities to the Underwriters duly paid by the Company. The Global Note will be made available for inspection by the Representatives not later than 1:00 p.m. (New York City time)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and shall not be on behalf of the Company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Preliminary Prospectus. </w:t>
      </w:r>
      <w:r>
        <w:rPr>
          <w:rFonts w:ascii="Times New Roman" w:hAnsi="Times New Roman"/>
          <w:sz w:val="20"/>
        </w:rPr>
        <w:t xml:space="preserve">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Time of Sale Information</w:t>
      </w:r>
      <w:r>
        <w:rPr>
          <w:rFonts w:ascii="Times New Roman" w:hAnsi="Times New Roman"/>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or (iii) below), an “Issuer Free Writing Prospectus”) other than (i) any document not constituting a prospectus pursuant to Section 2(a)(10)(a) of the Securities Act or Rule 134 under the Securities Act, (ii) any Preliminary Prospectus, (iii) the Prospectus, (iv) the documents listed on Annex A hereto which constitute part of the Time of Sale Information and (v) any electronic road show or other written communications, in each case approved in advance by the Representatives. Each such Issuer Free Writing Prospectus complied in all material respects with the Securities Act, has been or will be (within the time period specified in Rule 433 under the Securities Act)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Registration Statement and Prospectus. </w:t>
      </w:r>
      <w:r>
        <w:rPr>
          <w:rFonts w:ascii="Times New Roman" w:hAnsi="Times New Roman"/>
          <w:sz w:val="20"/>
        </w:rPr>
        <w:t xml:space="preserve">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 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“Trust Indenture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did not and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Incorporated Documents. </w:t>
      </w:r>
      <w:r>
        <w:rPr>
          <w:rFonts w:ascii="Times New Roman" w:hAnsi="Times New Roman"/>
          <w:sz w:val="20"/>
        </w:rPr>
        <w:t xml:space="preserve">The documents incorporated by reference in each of the Registration Statement, the Prospectus and the Time of Sale Information, when such documents were filed with the Commission, conformed in all material respects to the requirements of the Exchange Act and none of such documents contained any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Financial Statements. </w:t>
      </w:r>
      <w:r>
        <w:rPr>
          <w:rFonts w:ascii="Times New Roman" w:hAnsi="Times New Roman"/>
          <w:sz w:val="20"/>
        </w:rPr>
        <w:t xml:space="preserve">The financial statements and the related notes included or incorporated by reference in each of the Registration Statement, the Time of Sale Information and the Prospectus comply in all material respects with the applicable requirements of the Securities Act and the Exchange Act, as applicable, and present fairly in all material respects the consolidated financial position of the Company and its subsidiaries as of the dates indicated and the consolidated results of their operations and the changes in their cash flows for the periods specified; such financial statements have been prepared in conformity with U.S. generally accepted accounting principles applied on a consistent basis throughout the periods covered thereby, and the supporting schedules included or incorporated by reference in each of the Registration Statement, the Prospectus and the Time of Sale Information, except as otherwise disclosed in such financial statements and such schedules, present fairly in all material respects the information required to be stated therein; and the other financial information included or incorporated by reference in each of the Registration Statement, the Time of Sale Information and the Prospectus has been derived from the accounting records of the Company and its subsidiaries and presents fairly in all material respects the information shown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Material Adverse Change. </w:t>
      </w:r>
      <w:r>
        <w:rPr>
          <w:rFonts w:ascii="Times New Roman" w:hAnsi="Times New Roman"/>
          <w:sz w:val="20"/>
        </w:rPr>
        <w:t xml:space="preserve">Since the date of the most recent financial statements of the Company included or incorporated by reference in each of the Registration Statement, the Time of Sale Information and the Prospectus, (i) there has not been any material change in the capital stock or long-term debt of the Company or any of its subsidiaries (other than in the ordinary course of business consistent with past practice), or any dividend or distribution of any kind declared, set aside for payment, paid or made by the Company on any class of capital stock (other than regular quarterly dividends declared or paid consistent with past practice), or any material adverse change, or any development involving a prospective material adverse change in or affecting the business, properties, financial position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in either case that is material to the Company and its subsidiaries taken as a whole, from fire, explosion, flood or other calamity, whether or not covered by insurance, or from any labor disturbance or dispute or any action, order or decree of any court or arbitrator or governmental or regulatory authority, except, in the case of each of clauses (i), (ii) and (iii), as otherwise disclosed or incorporated by reference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Organization and Good Standing. </w:t>
      </w:r>
      <w:r>
        <w:rPr>
          <w:rFonts w:ascii="Times New Roman" w:hAnsi="Times New Roman"/>
          <w:sz w:val="20"/>
        </w:rPr>
        <w:t xml:space="preserve">The Company and each of its Significant Subsidiaries (as defined below)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corporate or other similar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financial position or results of operations of the Company and its subsidiaries taken as a whole or on the performance by the Company of its obligations under this Agreement and the Securities (a “Material Adverse Effect”). The Company’s only “significant subsidiaries” (as defined in Rule 405 under the Securities Act) are Hubbell Incorporated (Delaware), Hubbell Power Systems, Inc., Aclara Technologies LLC, Northern Star Holdings, Inc., Hubbell Corporate Holdings, Inc., Hubbell Canada Holdings 1 ULC and Hubbell Global Holdings, LP (collectively, the “Significant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Capitalization. </w:t>
      </w:r>
      <w:r>
        <w:rPr>
          <w:rFonts w:ascii="Times New Roman" w:hAnsi="Times New Roman"/>
          <w:sz w:val="20"/>
        </w:rPr>
        <w:t xml:space="preserve">The Company had the capitalization as set forth in each of the Registration Statement, the Time of Sale Information and the Prospectus under the caption “Capitalization” as of the date specified therein; and all the outstanding shares of capital stock or other equity interests of each Significant Subsidiary of the Company have been duly and validly authorized and issued, are fully paid and non-assessable and are owned directly or indirectly by the Company, free and clear of any material lien, charge, encumbrance, security interest, restriction on voting or transfer or any other material claim of any third party, except as otherwise disclosed in each of the Registration Statement, the Time of Sale Information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Due Authorization. </w:t>
      </w:r>
      <w:r>
        <w:rPr>
          <w:rFonts w:ascii="Times New Roman" w:hAnsi="Times New Roman"/>
          <w:sz w:val="20"/>
        </w:rPr>
        <w:t xml:space="preserve">The Company has the corporate power and authority to execute and deliver the Indenture, the Securities and this Agreement (collectively, the “Transaction Documents”) and to perform its obligations thereunder and hereunder; and all action required to be taken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Indenture. </w:t>
      </w:r>
      <w:r>
        <w:rPr>
          <w:rFonts w:ascii="Times New Roman" w:hAnsi="Times New Roman"/>
          <w:sz w:val="20"/>
        </w:rPr>
        <w:t xml:space="preserve">The Indenture has been duly authorized by the Company and has been or will have been duly qualified under the Trust Indenture Act; and the Base Indenture constitutes, and the Eighth Supplemental Indenture, when duly executed and delivered in accordance with its terms by each of the parties thereto, will constitute, a valid and legally binding agreement of the Company, enforceable against the Company in accordance with its terms, subject to applicable bankruptcy, insolvency or similar laws relating to or affecting creditors’ rights generally and general principles of equity (collectively,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Securities. </w:t>
      </w:r>
      <w:r>
        <w:rPr>
          <w:rFonts w:ascii="Times New Roman" w:hAnsi="Times New Roman"/>
          <w:sz w:val="20"/>
        </w:rPr>
        <w:t xml:space="preserve">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Descriptions of the Transaction Documents. </w:t>
      </w:r>
      <w:r>
        <w:rPr>
          <w:rFonts w:ascii="Times New Roman" w:hAnsi="Times New Roman"/>
          <w:sz w:val="20"/>
        </w:rPr>
        <w:t xml:space="preserve">Each Transaction Document conforms or, when executed, will conform in all material respects to the description thereof contained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No Violation or Default. </w:t>
      </w:r>
      <w:r>
        <w:rPr>
          <w:rFonts w:ascii="Times New Roman" w:hAnsi="Times New Roman"/>
          <w:sz w:val="20"/>
        </w:rPr>
        <w:t xml:space="preserve">Neither the Company nor any of its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Conflicts. </w:t>
      </w:r>
      <w:r>
        <w:rPr>
          <w:rFonts w:ascii="Times New Roman" w:hAnsi="Times New Roman"/>
          <w:sz w:val="20"/>
        </w:rPr>
        <w:t xml:space="preserve">The execution, delivery and performance by the Company of each of the Transaction Documents, the issuance and sale of the Securities and the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Significant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for any such conflict, breach, violation or default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Consents Required</w:t>
      </w:r>
      <w:r>
        <w:rPr>
          <w:rFonts w:ascii="Times New Roman" w:hAnsi="Times New Roman"/>
          <w:sz w:val="20"/>
        </w:rPr>
        <w:t xml:space="preserve">. No consent, approval, authorization, order, registration or qualification of or with any court or arbitrator or governmental or regulatory authority is required for the execution, delivery and performance by the Company of each of the Transaction Documents, the issuance and sale of the Securities and the compliance by the Company with the terms thereof and the consummation of the transactions contemplated by the Transaction Documents, except for the registration of the Securities under the Securities Act, the qualification of the Indenture under the Trust Indenture Act and such consents, approvals, authorizations, orders and registrations or qualifications as may be required under applicable state securities laws in connection with the purchase and distribution of the Securities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Legal Proceedings. </w:t>
      </w:r>
      <w:r>
        <w:rPr>
          <w:rFonts w:ascii="Times New Roman" w:hAnsi="Times New Roman"/>
          <w:sz w:val="20"/>
        </w:rPr>
        <w:t xml:space="preserve">Except as described in each of the Registration Statement, the Time of Sale Information and the Prospectus, there are no legal, governmental or regulatory investigations, actions, demands, claims, suits, arbitrations, inquiries or proceedings (“Actions”) pending to which the Company or any of its subsidiaries is a party or to which any property, right or asset of the Company or any of its subsidiaries is the subject, and, to the knowledge of the Company, no Actions are threatened or contemplated by any governmental or regulatory authority or threatened by others, that, individually or in the aggregate, if determined adversely to the Company or any of its subsidiaries, would have a Material Adverse Effect; and (i) there are no current or pending Actions that are required under the Securities Act to be described in the Registration Statement, the Time of Sale Information or the Prospectus that are not so described in the Registration Statement, the Time of Sale Information or the Prospectus and (ii) there are no statutes, regulations, contracts or other documents that are required under the Securities Act to be filed as exhibits to the Registration Statement or described in the Registration Statement, the Time of Sale Information or the Prospectus that are not so filed as exhibits to the Registration Statement or described in the Registration Statement, the Time of Sale Information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Independent Accountants. </w:t>
      </w:r>
      <w:r>
        <w:rPr>
          <w:rFonts w:ascii="Times New Roman" w:hAnsi="Times New Roman"/>
          <w:sz w:val="20"/>
        </w:rPr>
        <w:t xml:space="preserve">PricewaterhouseCoopers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Title to Real and Personal Property. </w:t>
      </w:r>
      <w:r>
        <w:rPr>
          <w:rFonts w:ascii="Times New Roman" w:hAnsi="Times New Roman"/>
          <w:sz w:val="20"/>
        </w:rPr>
        <w:t xml:space="preserve">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(ii) would not, individually or in the aggregate, have a Material Adverse Effect or (iii) are described in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Title to Intellectual Property. </w:t>
      </w:r>
      <w:r>
        <w:rPr>
          <w:rFonts w:ascii="Times New Roman" w:hAnsi="Times New Roman"/>
          <w:sz w:val="20"/>
        </w:rPr>
        <w:t xml:space="preserve">(i) 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necessary for or used in the conduct of their respective businesses except where the failure to own, possess or have the right to use such Intellectual Property would not, individually or in the aggregate, have a Material Adverse Effect; (ii) to the Company’s knowledge, the Company and its subsidiaries’ conduct of their respective businesses does not infringe, misappropriate or otherwise violate any Intellectual Property of any person in any material respect; (iii) the Company and its subsidiaries have not received any written notice of any claim relating to Intellectual Property infringement or conflict with any such rights of others that, individually or in the aggregate, would have a Material Adverse Effect; and (iv) to the knowledge of the Company, the Intellectual Property of the Company and their subsidiaries is not being infringed, misappropriated or otherwise violated by any person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No Undisclosed Relationships. </w:t>
      </w:r>
      <w:r>
        <w:rPr>
          <w:rFonts w:ascii="Times New Roman" w:hAnsi="Times New Roman"/>
          <w:sz w:val="20"/>
        </w:rPr>
        <w:t xml:space="preserve">No relationship, direct or indirect, exists between or among the Company or any of its subsidiaries, on the one hand, and the directors, officers, or other affiliates, or shareholders of the Company or any of its subsidiaries, on the other, that is required by Item 404 of Regulation S-K under the Securities Act to be described in each of the Registration Statement and the Prospectus and that is not so described in such documents and in the 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Investment Company Act. </w:t>
      </w:r>
      <w:r>
        <w:rPr>
          <w:rFonts w:ascii="Times New Roman" w:hAnsi="Times New Roman"/>
          <w:sz w:val="20"/>
        </w:rPr>
        <w:t xml:space="preserve">The Company is not and, after giving effect to the offering and sale of the Securities and the application of the 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Taxes. </w:t>
      </w:r>
      <w:r>
        <w:rPr>
          <w:rFonts w:ascii="Times New Roman" w:hAnsi="Times New Roman"/>
          <w:sz w:val="20"/>
        </w:rPr>
        <w:t xml:space="preserve">The Company and its subsidiaries have paid all federal, state, local and foreign taxes required to be paid and filed all tax returns required to be filed, in each case, through the date hereof, and there is no tax deficiency that has been asserted against the Company or any of its subsidiaries or any of their respective properties or assets, in each case, except as otherwise disclosed in the Registration Statement, the Time of Sale Information and the Prospectus or as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Licenses and Permits. </w:t>
      </w:r>
      <w:r>
        <w:rPr>
          <w:rFonts w:ascii="Times New Roman" w:hAnsi="Times New Roman"/>
          <w:sz w:val="20"/>
        </w:rPr>
        <w:t xml:space="preserve">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or except where such revocation or modification would not, individually or in the aggregate, have a Material Adverse Effect, neither the Company nor any of its subsidiaries has received notice of any revocation or modification of any such license, sub-license, certificate, permit or authorization or has any reason to believe that any such license, certificate, permit or authorization will not be renewed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No Labor Disputes. </w:t>
      </w:r>
      <w:r>
        <w:rPr>
          <w:rFonts w:ascii="Times New Roman" w:hAnsi="Times New Roman"/>
          <w:sz w:val="20"/>
        </w:rPr>
        <w:t xml:space="preserve">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Since December 31, 2024, neither the Company nor any of its subsidiaries has received any notice of cancellation or termination with respect to any collective bargaining agreement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Compliance With Environmental Laws. </w:t>
      </w:r>
      <w:r>
        <w:rPr>
          <w:rFonts w:ascii="Times New Roman" w:hAnsi="Times New Roman"/>
          <w:sz w:val="20"/>
        </w:rPr>
        <w:t xml:space="preserve">(i) The Company and its subsidiaries (A) are, and at all prior times were, in compliance with any and all applicable federal, state, local and foreign laws, rules, regulations, requirements, decisions and orders relating to the protection of human health or safety, the environment, natural resources, hazardous or toxic substances or wastes, pollutants or contaminants (collectively, “Environmental Laws”); (B) have received and are in compliance with all permits, licenses, certificates or other authorizations or approvals required of them under applicable Environmental Laws to conduct their respective businesses; and (C)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and (iii) (A) except as described in each of the Time of Sale Information and the Prospectus,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 or more will be imposed, (B) the Company and its subsidiaries are not aware of any issues regarding compliance with Environmental Laws, or liabilities or other obligations under Environmental Laws or concerning hazardous or toxic substances or wastes, pollutants or contaminants, and (C) none of the Company and its subsidiaries anticipates capital expenditures relating to any Environmental Laws, except in the case of each of (i), (ii), (iii)(B) and (iii)(C) above, (x) as disclosed in each of the Registration Statement, the Time of Sale Information and the Prospectus or (y) for any such failure to comply, or failure to receive required permits, licenses or approvals, or cost, issues, liabilities or obligations or capital expenditures, as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Disclosure Controls</w:t>
      </w:r>
      <w:r>
        <w:rPr>
          <w:rFonts w:ascii="Times New Roman" w:hAnsi="Times New Roman"/>
          <w:sz w:val="20"/>
        </w:rPr>
        <w:t xml:space="preserve">. The Company and its Significant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Significant Subsidiaries have carried out evaluations of the effectiveness of their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Accounting Controls. </w:t>
      </w:r>
      <w:r>
        <w:rPr>
          <w:rFonts w:ascii="Times New Roman" w:hAnsi="Times New Roman"/>
          <w:sz w:val="20"/>
        </w:rPr>
        <w:t xml:space="preserve">The Company and its Significant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Company and its Significant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internal controls.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Insurance. </w:t>
      </w:r>
      <w:r>
        <w:rPr>
          <w:rFonts w:ascii="Times New Roman" w:hAnsi="Times New Roman"/>
          <w:sz w:val="20"/>
        </w:rPr>
        <w:t xml:space="preserve">Except as would not have a Material Adverse Effect, the Company and its subsidiaries have insurance covering their respective properties, operations, personnel and businesses, including business interruption insurance, which insurance is in amounts and insures against such losses and risks as are adequate to protect the Company and its subsidiaries and their respective businesses; and except as would not have a Material Adverse Effect,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No Unlawful Payments</w:t>
      </w:r>
      <w:r>
        <w:rPr>
          <w:rFonts w:ascii="Times New Roman" w:hAnsi="Times New Roman"/>
          <w:sz w:val="20"/>
        </w:rPr>
        <w:t xml:space="preserve">. Neither the Company nor any of its subsidiaries nor any director or officer of the Company or any Significant Subsidiary nor, to the knowledge of the Company, any director or officer of any other subsidiary, any employee, agent, affiliate or other authorized representative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has taken any action, directly or indirectly, that would result in a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in any jurisdiction where the Company or any of its subsidiaries conducts business; or (iv) made, offered, agreed, requested or taken an act in furtherance of any unlawful bribe or other unlawful benefit, including, without limitation, any rebate, payoff, influence payment, kickback or other unlawful payment or benefit. The Company and its subsidiaries have instituted, and maintain and enforce, policies and procedures designed to promote and ensure compliance with all applicable anti-bribery and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Compliance with Anti-Money Laundering Laws</w:t>
      </w:r>
      <w:r>
        <w:rPr>
          <w:rFonts w:ascii="Times New Roman" w:hAnsi="Times New Roman"/>
          <w:sz w:val="20"/>
        </w:rPr>
        <w:t xml:space="preserve">. (i) The operations of the Company and its subsidiaries are and, since January 1, 2024, have been conducted in compliance with applicable financial recordkeeping and reporting requirements, including those of the Currency and Foreign Transactions Reporting Act of 1970, as amended, the applicable anti-money laundering statutes of all jurisdictions where the Company or any of its subsidiaries conducts material business, the rules and regulations thereunder and any related or similar rules, regulations or guidelines issued, administered or enforced by any governmental agency (collectively, the “Anti-Money Laundering Laws”), and (ii)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nor any director or officer of the Company or any Significant Subsidiary nor, to the knowledge of the Company, any director or officer of any other subsidiary, any employee, agent, affiliate or other authorized representative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or any of its subsidiaries located, organized or resident in a country or territory that is the subject or the target of Sanctions, including, without limitation, the Crimea and the non-government controlled areas of Ukraine, Cuba, Iran, North Korea, Sudan and Syria (with respect to Syria, only until July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2025) (each, a “Sanctioned Country”); and the Company will not directly or, to its knowledge,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Restrictions on Subsidiaries</w:t>
      </w:r>
      <w:r>
        <w:rPr>
          <w:rFonts w:ascii="Times New Roman" w:hAnsi="Times New Roman"/>
          <w:sz w:val="20"/>
        </w:rPr>
        <w:t xml:space="preserve">. No Significant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except for any such restriction that would not reasonably be expected to adversely affect the Company’s ability to make payments on the Securities when due.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No Stabilization. </w:t>
      </w:r>
      <w:r>
        <w:rPr>
          <w:rFonts w:ascii="Times New Roman" w:hAnsi="Times New Roman"/>
          <w:sz w:val="20"/>
        </w:rPr>
        <w:t xml:space="preserve">The Company has not taken,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Forward-Looking Statements. </w:t>
      </w:r>
      <w:r>
        <w:rPr>
          <w:rFonts w:ascii="Times New Roman" w:hAnsi="Times New Roman"/>
          <w:sz w:val="20"/>
        </w:rPr>
        <w:t xml:space="preserve">No forward-looking statement (within the meaning of Section 27A of the Securities Act and Section 21E of the Exchange Act) included or incorporated by reference in any of the Registration Statement, the Time of Sale Information or the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Time of Sale Information and the Prospectus is not based on or derived from sources that are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Sarbanes-Oxley Act</w:t>
      </w:r>
      <w:r>
        <w:rPr>
          <w:rFonts w:ascii="Times New Roman" w:hAnsi="Times New Roman"/>
          <w:sz w:val="20"/>
        </w:rPr>
        <w:t xml:space="preserve">. Since January 1, 2024, there is and has been no failure on the part of the Company or any of the Company’s directors or officers, in their capacities as such, to comply in all material respects with any provision of the Sarbanes-Oxley Act of 2002, as amended, and the rules and regulations promulgated in connection therewith (the “Sarbanes-Oxley Act”),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Status under the Securities Act</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eXtensible</w:t>
      </w:r>
      <w:r>
        <w:rPr>
          <w:rFonts w:ascii="Times New Roman" w:hAnsi="Times New Roman"/>
          <w:sz w:val="20"/>
        </w:rPr>
        <w:t xml:space="preserve"> </w:t>
      </w:r>
      <w:r>
        <w:rPr>
          <w:rFonts w:ascii="Times New Roman" w:hAnsi="Times New Roman"/>
          <w:i/>
          <w:sz w:val="20"/>
        </w:rPr>
        <w:t xml:space="preserve">Business Reporting Language. </w:t>
      </w:r>
      <w:r>
        <w:rPr>
          <w:rFonts w:ascii="Times New Roman" w:hAnsi="Times New Roman"/>
          <w:sz w:val="20"/>
        </w:rPr>
        <w:t xml:space="preserve">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 xml:space="preserve">Cybersecurity; Data Protection. </w:t>
      </w:r>
      <w:r>
        <w:rPr>
          <w:rFonts w:ascii="Times New Roman" w:hAnsi="Times New Roman"/>
          <w:sz w:val="20"/>
        </w:rPr>
        <w:t xml:space="preserve">The Company and its subsidiaries have implemented and maintained commercially reasonable controls, policies, procedures, and safeguards to maintain and protect their material confidential information and the integrity, continuous operation, redundancy and security of its information technology assets and equipment, computers, systems, networks, hardware, software, websites, applications, and databases (collectively, “IT Systems”) and all data (including all personal, personally identifiable, sensitive, confidential or regulated data (“Personal Data”))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material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on behalf of the Company and delivered to the Representatives or counsel for the Underwriters in connection with the offering of the Securities shall be deemed a representation and warranty by the Company as to matters covered thereby to each Underwriter.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Required Filings. </w:t>
      </w:r>
      <w:r>
        <w:rPr>
          <w:rFonts w:ascii="Times New Roman" w:hAnsi="Times New Roman"/>
          <w:sz w:val="20"/>
        </w:rPr>
        <w:t xml:space="preserve">The Company will file the final Prospectus with the Commission within the time periods specified by Rule 424(b) and Rule 430A, 430B or 430C under the Securities Act, will file any Issuer Free Writing Prospectus (including the Pricing Term Sheet referred to in Annex A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Delivery of Documents. </w:t>
      </w:r>
      <w:r>
        <w:rPr>
          <w:rFonts w:ascii="Times New Roman" w:hAnsi="Times New Roman"/>
          <w:sz w:val="20"/>
        </w:rPr>
        <w:t xml:space="preserve">The Company will deliver, without charge, (i) to the Representatives, upon request, two conformed copies of the Registration Statement as originally filed and each amendment thereto, in each case including all exhibits and consents filed therewith and documents incorporated by reference therein; and (ii) to each Underwriter (A) upon request,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Amendments or Supplements; Issuer Free Writing Prospectuses. </w:t>
      </w:r>
      <w:r>
        <w:rPr>
          <w:rFonts w:ascii="Times New Roman" w:hAnsi="Times New Roman"/>
          <w:sz w:val="20"/>
        </w:rPr>
        <w:t xml:space="preserve">Before making, preparing, using, authorizing, approving, referring to or filing any 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Notice to the Representatives. </w:t>
      </w:r>
      <w:r>
        <w:rPr>
          <w:rFonts w:ascii="Times New Roman" w:hAnsi="Times New Roman"/>
          <w:sz w:val="20"/>
        </w:rPr>
        <w:t xml:space="preserve">Prior to the Closing, the Company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(vii) of the receipt by the Company of any notice with respect to any suspension of the qualification of the Securities for offer and sale in any jurisdiction or the initiation or threatening of any proceeding for such purpose. The Company will use all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Time of Sale Information. </w:t>
      </w:r>
      <w:r>
        <w:rPr>
          <w:rFonts w:ascii="Times New Roman" w:hAnsi="Times New Roman"/>
          <w:sz w:val="20"/>
        </w:rPr>
        <w:t xml:space="preserve">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Section (c) hereof,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w:t>
      </w:r>
      <w:r>
        <w:rPr>
          <w:rFonts w:ascii="Times New Roman" w:hAnsi="Times New Roman"/>
          <w:sz w:val="20"/>
        </w:rPr>
        <w:t xml:space="preserve">.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Section (c) hereof,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will not, in the light of the circumstances existing when the Prospectus is delivered to a purchaser, be misleading or so that the Prospectus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Blue Sky Compliance. </w:t>
      </w:r>
      <w:r>
        <w:rPr>
          <w:rFonts w:ascii="Times New Roman" w:hAnsi="Times New Roman"/>
          <w:sz w:val="20"/>
        </w:rPr>
        <w:t xml:space="preserve">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under the Securities Act)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Clear Market. </w:t>
      </w:r>
      <w:r>
        <w:rPr>
          <w:rFonts w:ascii="Times New Roman" w:hAnsi="Times New Roman"/>
          <w:sz w:val="20"/>
        </w:rPr>
        <w:t xml:space="preserve">During the period from the date hereof through and including the business day following the Closing Date, the Company will not, without the prior written consent of the Representatives, offer, sell, contract to sell or otherwise dispose of any debt securities issued or guaranteed by the Company and having a tenor of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Use of Proceeds. </w:t>
      </w:r>
      <w:r>
        <w:rPr>
          <w:rFonts w:ascii="Times New Roman" w:hAnsi="Times New Roman"/>
          <w:sz w:val="20"/>
        </w:rPr>
        <w:t xml:space="preserve">The Company will apply the net proceeds from the sale of the Securities as described in each of the Registration Statement, the Time of Sale Information and the Prospectus under the caption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DTC</w:t>
      </w:r>
      <w:r>
        <w:rPr>
          <w:rFonts w:ascii="Times New Roman" w:hAnsi="Times New Roman"/>
          <w:sz w:val="20"/>
        </w:rPr>
        <w:t xml:space="preserve">. The Company will provide reasonable assistance to the Underwriters in arranging for the Securities to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severally and not jointly,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hereof (including any electronic road show), or (iii) any free writing prospectus prepared by such Underwriter and approved by the Company in advance in writing (each such free writing prospectus referred to in clauses (i) or (iii), an “Underwriter Free Writing Prospectus”). Notwithstanding the foregoing, the Underwriters may use the Pricing Term Sheet referred to in Annex A hereto without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Securities on the Closing Date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Compliance; No Stop Order. </w:t>
      </w:r>
      <w:r>
        <w:rPr>
          <w:rFonts w:ascii="Times New Roman" w:hAnsi="Times New Roman"/>
          <w:sz w:val="20"/>
        </w:rPr>
        <w:t xml:space="preserve">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Representations, Warranties and Agreements. </w:t>
      </w:r>
      <w:r>
        <w:rPr>
          <w:rFonts w:ascii="Times New Roman" w:hAnsi="Times New Roman"/>
          <w:sz w:val="20"/>
        </w:rPr>
        <w:t xml:space="preserve">The representations and warranties of the Company contained herein shall be true and correct on the date hereof and on and as of the Closing Date; the statements of the Company and its officers made in any certificates delivered pursuant to this Agreement shall be true and correct on and as of the Closing Date; and the Company has complied in all material respects with all agreements and satisfied all conditions on its part to be performed or satisfied hereunder prior to or at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 Downgrade. </w:t>
      </w:r>
      <w:r>
        <w:rPr>
          <w:rFonts w:ascii="Times New Roman" w:hAnsi="Times New Roman"/>
          <w:sz w:val="20"/>
        </w:rPr>
        <w:t xml:space="preserve">Subsequent to the earlier of (A) the Time of Sale and (B) the execution and delivery of this Agreement, (i) no downgrading shall have occurred in the rating accorded the Securities or any other debt securities issued or guaranteed by the Company or any of its subsidiaries by any “nationally recognized statistical rating organization,” as such term is defined under Section 3(a)(62) of the Exchange Act and (ii) no such organization shall have publicly announced that it has under surveillance or review, or has changed its outlook with respect to, its rating of the Securities or of any other debt securities issued or guaranteed by the Company or any of its subsidiaries (other than an announcement with positive implications of a possible upgrading).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Material Adverse Change. </w:t>
      </w:r>
      <w:r>
        <w:rPr>
          <w:rFonts w:ascii="Times New Roman" w:hAnsi="Times New Roman"/>
          <w:sz w:val="20"/>
        </w:rPr>
        <w:t xml:space="preserve">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 xml:space="preserve">Certificate. </w:t>
      </w:r>
      <w:r>
        <w:rPr>
          <w:rFonts w:ascii="Times New Roman" w:hAnsi="Times New Roman"/>
          <w:sz w:val="20"/>
        </w:rPr>
        <w:t xml:space="preserve">The Representatives shall have received on and as of the Closing Date a certificate of two executive officers of the Company who are reasonably satisfactory to the Representatives confirming (i) that each such officer has carefully reviewed the Registration Statement, the Time of Sale Information and the Prospectus and (ii) to the knowledge of each such officer, to the effect set forth in 6(a), 6(b), 6(c) and 6(d)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Comfort Letters. </w:t>
      </w:r>
      <w:r>
        <w:rPr>
          <w:rFonts w:ascii="Times New Roman" w:hAnsi="Times New Roman"/>
          <w:sz w:val="20"/>
        </w:rPr>
        <w:t xml:space="preserve">On the date of this Agreement and on the Closing Date, PricewaterhouseCoopers LLP shall have furnished to the Representatives, at the request of the Company, letters, dated the respective dates of delivery thereof and addressed to the Underwriters, in form and substance reasonably satisfactory to the Representatives and PricewaterhouseCoopers LLP,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hAnsi="Times New Roman"/>
          <w:sz w:val="20"/>
          <w:u w:val="single"/>
        </w:rPr>
        <w:t>provided</w:t>
      </w:r>
      <w:r>
        <w:rPr>
          <w:rFonts w:ascii="Times New Roman" w:hAnsi="Times New Roman"/>
          <w:sz w:val="20"/>
        </w:rPr>
        <w:t xml:space="preserve"> that the letter delivered on the Closing Date shall use a “cut-off” date no more than three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of Connecticut Counsel for the Company. </w:t>
      </w:r>
      <w:r>
        <w:rPr>
          <w:rFonts w:ascii="Times New Roman" w:hAnsi="Times New Roman"/>
          <w:sz w:val="20"/>
        </w:rPr>
        <w:t xml:space="preserve">Robinson &amp; Cole LLP, Connecticut counsel for the Company, shall have furnished to the Representatives, at the request of the Company, their written opinion, in form and substance reasonably satisfactory to the Underwriters, dated the Closing Date and addressed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Opinions of Counsel for the Company. </w:t>
      </w:r>
      <w:r>
        <w:rPr>
          <w:rFonts w:ascii="Times New Roman" w:hAnsi="Times New Roman"/>
          <w:sz w:val="20"/>
        </w:rPr>
        <w:t xml:space="preserve">Wachtell, Lipton, Rosen &amp; Katz, counsel for the Company, shall have furnished to the Representatives, at the request of the Company, (i) their written opinion, in form and substance reasonably satisfactory to the Underwriters dated the Closing Date and addressed to the Underwriters, and (ii) their negative assurance statement, in form and substance reasonably satisfactory to the Underwriters, dated the Closing Date and addressed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Opinions of Counsel for the Underwriters. </w:t>
      </w:r>
      <w:r>
        <w:rPr>
          <w:rFonts w:ascii="Times New Roman" w:hAnsi="Times New Roman"/>
          <w:sz w:val="20"/>
        </w:rPr>
        <w:t xml:space="preserve">The Representatives shall have received a written opinion and negative assurance statement, dated the Closing Date, of Davis Polk &amp; Wardwell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local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Good Standing</w:t>
      </w:r>
      <w:r>
        <w:rPr>
          <w:rFonts w:ascii="Times New Roman" w:hAnsi="Times New Roman"/>
          <w:sz w:val="20"/>
        </w:rPr>
        <w:t xml:space="preserve">. The Representatives shall have received on and as of the Closing Date satisfactory evidence of the good standing or valid corporate existence, as the case may be, of the Company and each of its Significant Subsidiaries in their respective jurisdictions of organization, in writing or any standard form of telecommunication from the appropriate governmental authorities of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DTC</w:t>
      </w:r>
      <w:r>
        <w:rPr>
          <w:rFonts w:ascii="Times New Roman" w:hAnsi="Times New Roman"/>
          <w:sz w:val="20"/>
        </w:rPr>
        <w:t xml:space="preserve">. The Securities shall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Indenture and Securities</w:t>
      </w:r>
      <w:r>
        <w:rPr>
          <w:rFonts w:ascii="Times New Roman" w:hAnsi="Times New Roman"/>
          <w:sz w:val="20"/>
        </w:rPr>
        <w:t xml:space="preserve">. The Eighth Supplemental Indenture shall have been duly executed and delivered by duly authorized officers of each of the Company and the Trustee, and the Securities shall have been duly executed and delivered by a duly authorized officer of the Company and duly authenticated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Additional Documents. </w:t>
      </w:r>
      <w:r>
        <w:rPr>
          <w:rFonts w:ascii="Times New Roman" w:hAnsi="Times New Roman"/>
          <w:sz w:val="20"/>
        </w:rPr>
        <w:t xml:space="preserve">Prior to or on the Closing Date, the Company shall have furnished to the Representatives such further customary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Indemnification of the Underwriters. </w:t>
      </w:r>
      <w:r>
        <w:rPr>
          <w:rFonts w:ascii="Times New Roman" w:hAnsi="Times New Roman"/>
          <w:sz w:val="20"/>
        </w:rPr>
        <w:t xml:space="preserve">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Indemnification of the Company. </w:t>
      </w:r>
      <w:r>
        <w:rPr>
          <w:rFonts w:ascii="Times New Roman" w:hAnsi="Times New Roman"/>
          <w:sz w:val="20"/>
        </w:rPr>
        <w:t xml:space="preserve">Each Underwriter agrees, severally and not jointly, to indemnify and hold harmless the Company, its directors and officers who signed the Registration Statement and each person, if any, who controls the Company within the meaning of Section 15 of the Securities Act or Section 20 of the Exchange Act to the same extent as the indemnity set forth in Section (a),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(i) the third paragraph under the heading “Underwriting,” relating to concessions and reallowances, and (ii) the sixth and seventh paragraphs under the heading “Underwriting,” relating to stabilization, syndicate covering transactions and penalty bids.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and Procedures. </w:t>
      </w:r>
      <w:r>
        <w:rPr>
          <w:rFonts w:ascii="Times New Roman" w:hAnsi="Times New Roman"/>
          <w:sz w:val="20"/>
        </w:rPr>
        <w:t xml:space="preserve">If any suit, action, proceeding (including any governmental or regulatory investigation), claim or demand shall be brought or asserted against any person in respect of which indemnification may be sought pursuant to either Section 7(a) or 7(b),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reasonable fees and expenses of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directors and officers and any control persons of such Underwriter shall be designated in writing by J.P. Morgan Securities LLC, BofA Securities, Inc. and HSBC Securities (USA) Inc. and any such separate firm for the Company,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Contribution. </w:t>
      </w:r>
      <w:r>
        <w:rPr>
          <w:rFonts w:ascii="Times New Roman" w:hAnsi="Times New Roman"/>
          <w:sz w:val="20"/>
        </w:rPr>
        <w:t xml:space="preserve">If the indemnification provided for in Sections 7(a) and 7(b)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in such proportion as is appropriate to reflect the relative benefits received by the Company on the one hand, and the Underwriters, on the other, from the offering of the Securities or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Limitation on Liability. </w:t>
      </w:r>
      <w:r>
        <w:rPr>
          <w:rFonts w:ascii="Times New Roman" w:hAnsi="Times New Roman"/>
          <w:sz w:val="20"/>
        </w:rPr>
        <w:t xml:space="preserve">The Company and the Underwriters agree that it would not be just and equitable if contribution pursuant to this Section 7 were determined by </w:t>
      </w:r>
      <w:r>
        <w:rPr>
          <w:rFonts w:ascii="Times New Roman" w:hAnsi="Times New Roman"/>
          <w:sz w:val="20"/>
          <w:u w:val="single"/>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(d). The amount paid or payable by an Indemnified Person as a result of the losses, claims, damages and liabilities referred to in Section (d)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Non-Exclusive Remedies. </w:t>
      </w:r>
      <w:r>
        <w:rPr>
          <w:rFonts w:ascii="Times New Roman" w:hAnsi="Times New Roman"/>
          <w:sz w:val="20"/>
        </w:rPr>
        <w:t xml:space="preserve">The remedies provided for in this Section 7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trading generally shall have been suspended or materially limited on the New York Stock Exchange or the over-the-counter market; trading of any securities issued or guaranteed by the Company shall have been suspended on any exchange or in any over-the-counter market; a general moratorium on commercial banking activities shall have been declared by federal or New York State authorities or a material disruption in commercial banking or securities settlement and clearance services shall have occurred; or there shall have occurred any outbreak or escalation of hostilities or acts of terrorism involving the United States or declaration of national emergency or war by the United States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“Underwriter” includes, for all purposes of this Agreement unless the context otherwise requires, any person not listed in Schedule I hereto that, pursuant to this Section 10, purchases Securities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(a) If, after giving effect to any arrangements for the purchase of the Securities of a defaulting Underwriter or Underwriters by the non-defaulting Underwriters and the Company as provided in Section 10(a),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hAnsi="Times New Roman"/>
          <w:sz w:val="20"/>
          <w:u w:val="single"/>
        </w:rPr>
        <w:t>pro rata</w:t>
      </w:r>
      <w:r>
        <w:rPr>
          <w:rFonts w:ascii="Times New Roman" w:hAnsi="Times New Roman"/>
          <w:sz w:val="20"/>
        </w:rPr>
        <w:t xml:space="preserve">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Section 10(a), the aggregate principal amount of such Securities that remains unpurchased exceeds one-eleventh of the aggregate principal amount of all the Securities, or if the Company shall not exercise the right described in Section 10(b),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 xml:space="preserve">. </w:t>
      </w:r>
      <w:r>
        <w:rPr>
          <w:rFonts w:ascii="Times New Roman" w:hAnsi="Times New Roman"/>
          <w:sz w:val="20"/>
        </w:rPr>
        <w:t xml:space="preserve">Whether or not the transactions contemplated by this Agreement are consummated or this Agreement is terminated, the Company agrees to pay or cause to be paid all costs and expenses incident to the performance of its obligations hereunder, including, without limitation, the following: (i) the costs incident to the authorization, issuance, sale, preparation and delivery of the Securities to the Underwriters and any transfer taxes payable in connection therewith;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(but not, for the avoidance of doubt, the fees and expenses of counsel to the Underwriters) and independent public registered accounting firm;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(not to exceed $7,550);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Inc. and the approval of the Securities for book-entry transfer by DTC; and (ix) all expenses incurred by the Company in connection with any “road show” presentation to potential investors. </w:t>
      </w:r>
    </w:p>
    <w:p>
      <w:pPr>
        <w:pStyle w:val="TextBody"/>
        <w:bidi w:val="0"/>
        <w:spacing w:before="240" w:after="0"/>
        <w:jc w:val="left"/>
        <w:rPr>
          <w:rFonts w:ascii="Times New Roman" w:hAnsi="Times New Roman"/>
          <w:sz w:val="20"/>
        </w:rPr>
      </w:pPr>
      <w:r>
        <w:rPr>
          <w:rFonts w:ascii="Times New Roman" w:hAnsi="Times New Roman"/>
          <w:sz w:val="20"/>
        </w:rPr>
        <w:t xml:space="preserve">(a) If this Agreement is terminated (i) pursuant to Section 9(ii), (ii) because of any failure or refusal on the part of the Company to comply with the terms of this Agreement or (iii) for any reason, the Company shall be unable to perform its obligations under this Agreement, including any failure to tender the Securities for delivery to the Underwriters, the Company agrees, in each case, to reimburse the Underwriters for all out-of-pocket costs and expenses (including the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except where otherwise expressly provided, the term “affiliate” has the meaning set forth in Rule 405 under the Securities Act; the term “business day” means any day other than a day on which banks are permitted or required to be closed in New York City; and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In the event that any Underwriter that is a Covered Entity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Underwriter that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Section 16: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Authority of the Representatives. </w:t>
      </w:r>
      <w:r>
        <w:rPr>
          <w:rFonts w:ascii="Times New Roman" w:hAnsi="Times New Roman"/>
          <w:sz w:val="20"/>
        </w:rPr>
        <w:t xml:space="preserve">Any action by the Underwriters hereunder may be taken by J.P. Morgan Securities LLC, BofA Securities, Inc. and HSBC Securities (USA) Inc. on behalf of the Underwriters, and any such action taken by J.P. Morgan Securities LLC, BofA Securities, Inc. and HSBC Securities (USA) Inc. shall be binding upon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Notices. </w:t>
      </w:r>
      <w:r>
        <w:rPr>
          <w:rFonts w:ascii="Times New Roman" w:hAnsi="Times New Roman"/>
          <w:sz w:val="20"/>
        </w:rPr>
        <w:t xml:space="preserve">All notices and other communications hereunder shall be in writing and shall be deemed to have been duly given if mailed or transmitted and confirmed by any standard form of telecommunication, including electronic mail. Notices to the Underwriters shall be given to the Representatives c/o J.P. Morgan Securities LLC, 270 Park Avenue, New York, New York 10017 (fax: 212-834-6081), Attention: Investment Grade Syndicate Desk; c/o BofA Securities, Inc., 114 W 47th Street, NY8-114-07-01, New York, New York 10036 (fax: 212-901-7881), Attention: High Grade Transaction Debt Capital Markets Management/Legal; and c/o HSBC Securities (USA) Inc., 66 Hudson Boulevard, New York, New York 10001, fax: 646-366-3229, Email: </w:t>
      </w:r>
      <w:r>
        <w:rPr>
          <w:rFonts w:ascii="Times New Roman" w:hAnsi="Times New Roman"/>
          <w:sz w:val="20"/>
          <w:u w:val="single"/>
        </w:rPr>
        <w:t>tmg.americas@us.hsbc.com,</w:t>
      </w:r>
      <w:r>
        <w:rPr>
          <w:rFonts w:ascii="Times New Roman" w:hAnsi="Times New Roman"/>
          <w:sz w:val="20"/>
        </w:rPr>
        <w:t xml:space="preserve"> Attention: DCM Legal Americas. Notices to the Company shall be given to it at Hubbell Incorporated, 40 Waterview Drive, Shelton, Connecticut 06484-1000 ; 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Governing Law. </w:t>
      </w: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Submission to Jurisdiction</w:t>
      </w:r>
      <w:r>
        <w:rPr>
          <w:rFonts w:ascii="Times New Roman" w:hAnsi="Times New Roman"/>
          <w:sz w:val="20"/>
        </w:rPr>
        <w:t xml:space="preserve">. The Company and each Underwriter hereby submits to the exclusive jurisdiction of the U.S. federal and New York state courts in the Borough of Manhattan in The City of New York in any suit or proceeding arising out of or relating to this Agreement or the transactions contemplated hereby. The Company and each Underwriter waives any objection which it may now or hereafter have to the laying of venue of any such suit or proceeding in such courts. The Company and each Underwriter agrees that a final judgment in any such suit, action or proceeding brought in such court shall be conclusive and binding upon the Company or the applicable Underwriter, as the case may be, and may be enforced in any court to the jurisdiction of which Company or the applicable Underwriter, as the case may be,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Counterparts; Electronic Signatures. </w:t>
      </w:r>
      <w:r>
        <w:rPr>
          <w:rFonts w:ascii="Times New Roman" w:hAnsi="Times New Roman"/>
          <w:sz w:val="20"/>
        </w:rPr>
        <w:t xml:space="preserve">This Agreement may be signed in counterparts (which may include counterparts delivered by any standard form of telecommunication), each of which shall be an original and all of which together shall constitute one and the same instrument.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Amendments or Waivers. </w:t>
      </w:r>
      <w:r>
        <w:rPr>
          <w:rFonts w:ascii="Times New Roman" w:hAnsi="Times New Roman"/>
          <w:sz w:val="20"/>
        </w:rPr>
        <w:t xml:space="preserve">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Headings. </w:t>
      </w:r>
      <w:r>
        <w:rPr>
          <w:rFonts w:ascii="Times New Roman" w:hAnsi="Times New Roman"/>
          <w:sz w:val="20"/>
        </w:rPr>
        <w:t xml:space="preserve">The headings herein are included for convenience of reference only and are not intended to be part of, or to affect the meaning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Signatures follow on next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HUBBELL INCORPORATED</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Jonathon B. Murphy</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 Jonathon B. Murphy</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J.P. MORGAN SECURITIES LLC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Robert Bottamedi</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 Robert Bottamedi</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BOFA SECURITIES,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Sandeep Chawla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 Sandeep Chawla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HSBC SECURITIES (USA)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Patrice Altongy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 Patrice Altongy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I 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6"/>
        <w:gridCol w:w="210"/>
        <w:gridCol w:w="140"/>
        <w:gridCol w:w="1222"/>
        <w:gridCol w:w="60"/>
        <w:gridCol w:w="210"/>
        <w:gridCol w:w="140"/>
        <w:gridCol w:w="1222"/>
        <w:gridCol w:w="60"/>
        <w:gridCol w:w="210"/>
        <w:gridCol w:w="140"/>
        <w:gridCol w:w="1222"/>
        <w:gridCol w:w="63"/>
      </w:tblGrid>
      <w:tr>
        <w:trPr/>
        <w:tc>
          <w:tcPr>
            <w:tcW w:w="530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1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2031 Notes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2033 Notes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2036 Notes</w:t>
            </w:r>
          </w:p>
        </w:tc>
        <w:tc>
          <w:tcPr>
            <w:tcW w:w="63"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182,000,000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182,000,000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130,000,000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182,000,000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182,000,000</w:t>
            </w:r>
          </w:p>
        </w:tc>
        <w:tc>
          <w:tcPr>
            <w:tcW w:w="63"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182,000,000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182,000,000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28,000,000</w:t>
            </w:r>
          </w:p>
        </w:tc>
        <w:tc>
          <w:tcPr>
            <w:tcW w:w="63"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28,000,000</w:t>
            </w:r>
          </w:p>
        </w:tc>
        <w:tc>
          <w:tcPr>
            <w:tcW w:w="63"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14,000,000</w:t>
            </w:r>
          </w:p>
        </w:tc>
        <w:tc>
          <w:tcPr>
            <w:tcW w:w="63"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14,000,000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14,000,000</w:t>
            </w:r>
          </w:p>
        </w:tc>
        <w:tc>
          <w:tcPr>
            <w:tcW w:w="63" w:type="dxa"/>
            <w:tcBorders/>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2" w:type="dxa"/>
            <w:tcBorders/>
            <w:shd w:fill="CCEEFF" w:val="clear"/>
            <w:vAlign w:val="bottom"/>
          </w:tcPr>
          <w:p>
            <w:pPr>
              <w:pStyle w:val="TableContents"/>
              <w:bidi w:val="0"/>
              <w:spacing w:before="0" w:after="283"/>
              <w:jc w:val="right"/>
              <w:rPr>
                <w:b/>
              </w:rPr>
            </w:pPr>
            <w:r>
              <w:rPr>
                <w:b/>
              </w:rPr>
              <w:t>500,000,000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2" w:type="dxa"/>
            <w:tcBorders/>
            <w:shd w:fill="CCEEFF" w:val="clear"/>
            <w:vAlign w:val="bottom"/>
          </w:tcPr>
          <w:p>
            <w:pPr>
              <w:pStyle w:val="TableContents"/>
              <w:bidi w:val="0"/>
              <w:spacing w:before="0" w:after="283"/>
              <w:jc w:val="right"/>
              <w:rPr>
                <w:b/>
              </w:rPr>
            </w:pPr>
            <w:r>
              <w:rPr>
                <w:b/>
              </w:rPr>
              <w:t>700,000,000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2" w:type="dxa"/>
            <w:tcBorders/>
            <w:shd w:fill="CCEEFF" w:val="clear"/>
            <w:vAlign w:val="bottom"/>
          </w:tcPr>
          <w:p>
            <w:pPr>
              <w:pStyle w:val="TableContents"/>
              <w:bidi w:val="0"/>
              <w:spacing w:before="0" w:after="283"/>
              <w:jc w:val="right"/>
              <w:rPr>
                <w:b/>
              </w:rPr>
            </w:pPr>
            <w:r>
              <w:rPr>
                <w:b/>
              </w:rPr>
              <w:t>700,000,000</w:t>
            </w:r>
          </w:p>
        </w:tc>
        <w:tc>
          <w:tcPr>
            <w:tcW w:w="63" w:type="dxa"/>
            <w:tcBorders/>
            <w:shd w:fill="CCEEFF" w:val="clear"/>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June 2, 2026, substantially in the form of Annex B.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File No. 333-289041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June 2,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June 2, 2026 </w:t>
      </w:r>
    </w:p>
    <w:p>
      <w:pPr>
        <w:pStyle w:val="TextBody"/>
        <w:bidi w:val="0"/>
        <w:spacing w:before="0" w:after="0"/>
        <w:jc w:val="left"/>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HUBBELL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$500,000,000 4.650% Senior Notes due 2031 </w:t>
      </w:r>
    </w:p>
    <w:p>
      <w:pPr>
        <w:pStyle w:val="TextBody"/>
        <w:bidi w:val="0"/>
        <w:spacing w:before="120" w:after="0"/>
        <w:jc w:val="center"/>
        <w:rPr>
          <w:rFonts w:ascii="Times New Roman" w:hAnsi="Times New Roman"/>
          <w:b/>
          <w:sz w:val="20"/>
        </w:rPr>
      </w:pPr>
      <w:r>
        <w:rPr>
          <w:rFonts w:ascii="Times New Roman" w:hAnsi="Times New Roman"/>
          <w:b/>
          <w:sz w:val="20"/>
        </w:rPr>
        <w:t xml:space="preserve">$700,000,000 4.900% Senior Notes due 2033 </w:t>
      </w:r>
    </w:p>
    <w:p>
      <w:pPr>
        <w:pStyle w:val="TextBody"/>
        <w:bidi w:val="0"/>
        <w:spacing w:before="120" w:after="0"/>
        <w:jc w:val="center"/>
        <w:rPr>
          <w:rFonts w:ascii="Times New Roman" w:hAnsi="Times New Roman"/>
          <w:b/>
          <w:sz w:val="20"/>
        </w:rPr>
      </w:pPr>
      <w:r>
        <w:rPr>
          <w:rFonts w:ascii="Times New Roman" w:hAnsi="Times New Roman"/>
          <w:b/>
          <w:sz w:val="20"/>
        </w:rPr>
        <w:t xml:space="preserve">$700,000,000 5.150% Senior Notes due 2036 </w:t>
      </w:r>
    </w:p>
    <w:p>
      <w:pPr>
        <w:pStyle w:val="TextBody"/>
        <w:bidi w:val="0"/>
        <w:spacing w:before="120" w:after="0"/>
        <w:jc w:val="left"/>
        <w:rPr>
          <w:rFonts w:ascii="Times New Roman" w:hAnsi="Times New Roman"/>
          <w:sz w:val="20"/>
        </w:rPr>
      </w:pPr>
      <w:r>
        <w:rPr>
          <w:rFonts w:ascii="Times New Roman" w:hAnsi="Times New Roman"/>
          <w:sz w:val="20"/>
        </w:rPr>
        <w:t xml:space="preserve">This free writing prospectus relates only to the securities described below and should be read together with Hubbell Incorporated’s preliminary prospectus supplement dated June 2, 2026 (the “Preliminary Prospectus Supplement”), the accompanying prospectus dated June 2, 2026 and the documents incorporated and deemed to be incorporated by reference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Issuer: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Hubbell Incorporated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Title of Securities: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4.650% Senior Notes due 2031 (the “2031 Notes”)</w:t>
            </w:r>
          </w:p>
          <w:p>
            <w:pPr>
              <w:pStyle w:val="TableContents"/>
              <w:bidi w:val="0"/>
              <w:spacing w:before="0" w:after="0"/>
              <w:jc w:val="left"/>
              <w:rPr>
                <w:rFonts w:ascii="Times New Roman" w:hAnsi="Times New Roman"/>
                <w:sz w:val="20"/>
              </w:rPr>
            </w:pPr>
            <w:r>
              <w:rPr>
                <w:rFonts w:ascii="Times New Roman" w:hAnsi="Times New Roman"/>
                <w:sz w:val="20"/>
              </w:rPr>
              <w:t>4.900% Senior Notes due 2033 (the “2033 Notes”)</w:t>
            </w:r>
          </w:p>
          <w:p>
            <w:pPr>
              <w:pStyle w:val="TableContents"/>
              <w:bidi w:val="0"/>
              <w:spacing w:before="0" w:after="20"/>
              <w:jc w:val="left"/>
              <w:rPr>
                <w:rFonts w:ascii="Times New Roman" w:hAnsi="Times New Roman"/>
                <w:sz w:val="20"/>
              </w:rPr>
            </w:pPr>
            <w:r>
              <w:rPr>
                <w:rFonts w:ascii="Times New Roman" w:hAnsi="Times New Roman"/>
                <w:sz w:val="20"/>
              </w:rPr>
              <w:t>5.150% Senior Notes due 2036 (the “2036 Notes”, collectively with the 2031 Notes and the 2033 Notes, the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Principal Amount: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$500,000,000</w:t>
            </w:r>
          </w:p>
          <w:p>
            <w:pPr>
              <w:pStyle w:val="TableContents"/>
              <w:bidi w:val="0"/>
              <w:spacing w:before="0" w:after="0"/>
              <w:jc w:val="left"/>
              <w:rPr>
                <w:rFonts w:ascii="Times New Roman" w:hAnsi="Times New Roman"/>
                <w:sz w:val="20"/>
              </w:rPr>
            </w:pPr>
            <w:r>
              <w:rPr>
                <w:rFonts w:ascii="Times New Roman" w:hAnsi="Times New Roman"/>
                <w:sz w:val="20"/>
              </w:rPr>
              <w:t>2033 Notes: $700,000,000</w:t>
            </w:r>
          </w:p>
          <w:p>
            <w:pPr>
              <w:pStyle w:val="TableContents"/>
              <w:bidi w:val="0"/>
              <w:spacing w:before="0" w:after="20"/>
              <w:jc w:val="left"/>
              <w:rPr>
                <w:rFonts w:ascii="Times New Roman" w:hAnsi="Times New Roman"/>
                <w:sz w:val="20"/>
              </w:rPr>
            </w:pPr>
            <w:r>
              <w:rPr>
                <w:rFonts w:ascii="Times New Roman" w:hAnsi="Times New Roman"/>
                <w:sz w:val="20"/>
              </w:rPr>
              <w:t>2036 Notes: $700,000,000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Maturity: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June 15, 2031</w:t>
            </w:r>
          </w:p>
          <w:p>
            <w:pPr>
              <w:pStyle w:val="TableContents"/>
              <w:bidi w:val="0"/>
              <w:spacing w:before="0" w:after="0"/>
              <w:jc w:val="left"/>
              <w:rPr>
                <w:rFonts w:ascii="Times New Roman" w:hAnsi="Times New Roman"/>
                <w:sz w:val="20"/>
              </w:rPr>
            </w:pPr>
            <w:r>
              <w:rPr>
                <w:rFonts w:ascii="Times New Roman" w:hAnsi="Times New Roman"/>
                <w:sz w:val="20"/>
              </w:rPr>
              <w:t>2033 Notes: June 15, 2033</w:t>
            </w:r>
          </w:p>
          <w:p>
            <w:pPr>
              <w:pStyle w:val="TableContents"/>
              <w:bidi w:val="0"/>
              <w:spacing w:before="0" w:after="20"/>
              <w:jc w:val="left"/>
              <w:rPr>
                <w:rFonts w:ascii="Times New Roman" w:hAnsi="Times New Roman"/>
                <w:sz w:val="20"/>
              </w:rPr>
            </w:pPr>
            <w:r>
              <w:rPr>
                <w:rFonts w:ascii="Times New Roman" w:hAnsi="Times New Roman"/>
                <w:sz w:val="20"/>
              </w:rPr>
              <w:t>2036 Notes: June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Coupon (Interest Rate):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4.650%</w:t>
            </w:r>
          </w:p>
          <w:p>
            <w:pPr>
              <w:pStyle w:val="TableContents"/>
              <w:bidi w:val="0"/>
              <w:spacing w:before="0" w:after="0"/>
              <w:jc w:val="left"/>
              <w:rPr>
                <w:rFonts w:ascii="Times New Roman" w:hAnsi="Times New Roman"/>
                <w:sz w:val="20"/>
              </w:rPr>
            </w:pPr>
            <w:r>
              <w:rPr>
                <w:rFonts w:ascii="Times New Roman" w:hAnsi="Times New Roman"/>
                <w:sz w:val="20"/>
              </w:rPr>
              <w:t>2033 Notes: 4.900%</w:t>
            </w:r>
          </w:p>
          <w:p>
            <w:pPr>
              <w:pStyle w:val="TableContents"/>
              <w:bidi w:val="0"/>
              <w:spacing w:before="0" w:after="20"/>
              <w:jc w:val="left"/>
              <w:rPr>
                <w:rFonts w:ascii="Times New Roman" w:hAnsi="Times New Roman"/>
                <w:sz w:val="20"/>
              </w:rPr>
            </w:pPr>
            <w:r>
              <w:rPr>
                <w:rFonts w:ascii="Times New Roman" w:hAnsi="Times New Roman"/>
                <w:sz w:val="20"/>
              </w:rPr>
              <w:t>2036 Notes: 5.150%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Issue Price (Price to Public):</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99.469% of principal amount</w:t>
            </w:r>
          </w:p>
          <w:p>
            <w:pPr>
              <w:pStyle w:val="TableContents"/>
              <w:bidi w:val="0"/>
              <w:spacing w:before="0" w:after="0"/>
              <w:jc w:val="left"/>
              <w:rPr>
                <w:rFonts w:ascii="Times New Roman" w:hAnsi="Times New Roman"/>
                <w:sz w:val="20"/>
              </w:rPr>
            </w:pPr>
            <w:r>
              <w:rPr>
                <w:rFonts w:ascii="Times New Roman" w:hAnsi="Times New Roman"/>
                <w:sz w:val="20"/>
              </w:rPr>
              <w:t>2033 Notes: 99.378% of principal amount</w:t>
            </w:r>
          </w:p>
          <w:p>
            <w:pPr>
              <w:pStyle w:val="TableContents"/>
              <w:bidi w:val="0"/>
              <w:spacing w:before="0" w:after="20"/>
              <w:jc w:val="left"/>
              <w:rPr>
                <w:rFonts w:ascii="Times New Roman" w:hAnsi="Times New Roman"/>
                <w:sz w:val="20"/>
              </w:rPr>
            </w:pPr>
            <w:r>
              <w:rPr>
                <w:rFonts w:ascii="Times New Roman" w:hAnsi="Times New Roman"/>
                <w:sz w:val="20"/>
              </w:rPr>
              <w:t>2036 Notes: 99.220% of principal amount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4.125% due May 31, 2031</w:t>
            </w:r>
          </w:p>
          <w:p>
            <w:pPr>
              <w:pStyle w:val="TableContents"/>
              <w:bidi w:val="0"/>
              <w:spacing w:before="0" w:after="0"/>
              <w:jc w:val="left"/>
              <w:rPr>
                <w:rFonts w:ascii="Times New Roman" w:hAnsi="Times New Roman"/>
                <w:sz w:val="20"/>
              </w:rPr>
            </w:pPr>
            <w:r>
              <w:rPr>
                <w:rFonts w:ascii="Times New Roman" w:hAnsi="Times New Roman"/>
                <w:sz w:val="20"/>
              </w:rPr>
              <w:t>2033 Notes: 4.250% due May 31, 2033</w:t>
            </w:r>
          </w:p>
          <w:p>
            <w:pPr>
              <w:pStyle w:val="TableContents"/>
              <w:bidi w:val="0"/>
              <w:spacing w:before="0" w:after="20"/>
              <w:jc w:val="left"/>
              <w:rPr>
                <w:rFonts w:ascii="Times New Roman" w:hAnsi="Times New Roman"/>
                <w:sz w:val="20"/>
              </w:rPr>
            </w:pPr>
            <w:r>
              <w:rPr>
                <w:rFonts w:ascii="Times New Roman" w:hAnsi="Times New Roman"/>
                <w:sz w:val="20"/>
              </w:rPr>
              <w:t>2036 Notes: 4.375% due May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Spread to 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60 basis points</w:t>
            </w:r>
          </w:p>
          <w:p>
            <w:pPr>
              <w:pStyle w:val="TableContents"/>
              <w:bidi w:val="0"/>
              <w:spacing w:before="0" w:after="0"/>
              <w:jc w:val="left"/>
              <w:rPr>
                <w:rFonts w:ascii="Times New Roman" w:hAnsi="Times New Roman"/>
                <w:sz w:val="20"/>
              </w:rPr>
            </w:pPr>
            <w:r>
              <w:rPr>
                <w:rFonts w:ascii="Times New Roman" w:hAnsi="Times New Roman"/>
                <w:sz w:val="20"/>
              </w:rPr>
              <w:t>2033 Notes: 70 basis points</w:t>
            </w:r>
          </w:p>
          <w:p>
            <w:pPr>
              <w:pStyle w:val="TableContents"/>
              <w:bidi w:val="0"/>
              <w:spacing w:before="0" w:after="20"/>
              <w:jc w:val="left"/>
              <w:rPr>
                <w:rFonts w:ascii="Times New Roman" w:hAnsi="Times New Roman"/>
                <w:sz w:val="20"/>
              </w:rPr>
            </w:pPr>
            <w:r>
              <w:rPr>
                <w:rFonts w:ascii="Times New Roman" w:hAnsi="Times New Roman"/>
                <w:sz w:val="20"/>
              </w:rPr>
              <w:t>2036 Notes: 80 basis points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Benchmark Treasury Price and Yield: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99-25+; 4.170%</w:t>
            </w:r>
          </w:p>
          <w:p>
            <w:pPr>
              <w:pStyle w:val="TableContents"/>
              <w:bidi w:val="0"/>
              <w:spacing w:before="0" w:after="0"/>
              <w:jc w:val="left"/>
              <w:rPr>
                <w:rFonts w:ascii="Times New Roman" w:hAnsi="Times New Roman"/>
                <w:sz w:val="20"/>
              </w:rPr>
            </w:pPr>
            <w:r>
              <w:rPr>
                <w:rFonts w:ascii="Times New Roman" w:hAnsi="Times New Roman"/>
                <w:sz w:val="20"/>
              </w:rPr>
              <w:t>2033 Notes: 99-211⁄4; 4.306%</w:t>
            </w:r>
          </w:p>
          <w:p>
            <w:pPr>
              <w:pStyle w:val="TableContents"/>
              <w:bidi w:val="0"/>
              <w:spacing w:before="0" w:after="20"/>
              <w:jc w:val="left"/>
              <w:rPr>
                <w:rFonts w:ascii="Times New Roman" w:hAnsi="Times New Roman"/>
                <w:sz w:val="20"/>
              </w:rPr>
            </w:pPr>
            <w:r>
              <w:rPr>
                <w:rFonts w:ascii="Times New Roman" w:hAnsi="Times New Roman"/>
                <w:sz w:val="20"/>
              </w:rPr>
              <w:t>2036 Notes: 99-12+; 4.451%</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Yield to Maturity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4.770%</w:t>
            </w:r>
          </w:p>
          <w:p>
            <w:pPr>
              <w:pStyle w:val="TableContents"/>
              <w:bidi w:val="0"/>
              <w:spacing w:before="0" w:after="0"/>
              <w:jc w:val="left"/>
              <w:rPr>
                <w:rFonts w:ascii="Times New Roman" w:hAnsi="Times New Roman"/>
                <w:sz w:val="20"/>
              </w:rPr>
            </w:pPr>
            <w:r>
              <w:rPr>
                <w:rFonts w:ascii="Times New Roman" w:hAnsi="Times New Roman"/>
                <w:sz w:val="20"/>
              </w:rPr>
              <w:t>2033 Notes: 5.006%</w:t>
            </w:r>
          </w:p>
          <w:p>
            <w:pPr>
              <w:pStyle w:val="TableContents"/>
              <w:bidi w:val="0"/>
              <w:spacing w:before="0" w:after="20"/>
              <w:jc w:val="left"/>
              <w:rPr>
                <w:rFonts w:ascii="Times New Roman" w:hAnsi="Times New Roman"/>
                <w:sz w:val="20"/>
              </w:rPr>
            </w:pPr>
            <w:r>
              <w:rPr>
                <w:rFonts w:ascii="Times New Roman" w:hAnsi="Times New Roman"/>
                <w:sz w:val="20"/>
              </w:rPr>
              <w:t>2036 Notes: 5.251%</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Interest Payment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June 15 and December 15, commencing December 15, 2026</w:t>
            </w:r>
          </w:p>
          <w:p>
            <w:pPr>
              <w:pStyle w:val="TableContents"/>
              <w:bidi w:val="0"/>
              <w:spacing w:before="0" w:after="0"/>
              <w:jc w:val="left"/>
              <w:rPr>
                <w:rFonts w:ascii="Times New Roman" w:hAnsi="Times New Roman"/>
                <w:sz w:val="20"/>
              </w:rPr>
            </w:pPr>
            <w:r>
              <w:rPr>
                <w:rFonts w:ascii="Times New Roman" w:hAnsi="Times New Roman"/>
                <w:sz w:val="20"/>
              </w:rPr>
              <w:t>2033 Notes: June 15 and December 15, commencing December 15, 2026</w:t>
            </w:r>
          </w:p>
          <w:p>
            <w:pPr>
              <w:pStyle w:val="TableContents"/>
              <w:bidi w:val="0"/>
              <w:spacing w:before="0" w:after="20"/>
              <w:jc w:val="left"/>
              <w:rPr>
                <w:rFonts w:ascii="Times New Roman" w:hAnsi="Times New Roman"/>
                <w:sz w:val="20"/>
              </w:rPr>
            </w:pPr>
            <w:r>
              <w:rPr>
                <w:rFonts w:ascii="Times New Roman" w:hAnsi="Times New Roman"/>
                <w:sz w:val="20"/>
              </w:rPr>
              <w:t>2036 Notes: June 15 and December 15, commencing December 15,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Optional Redemption Provisions: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w:t>
            </w:r>
          </w:p>
          <w:p>
            <w:pPr>
              <w:pStyle w:val="TableContents"/>
              <w:bidi w:val="0"/>
              <w:spacing w:before="0" w:after="20"/>
              <w:jc w:val="left"/>
              <w:rPr>
                <w:rFonts w:ascii="Times New Roman" w:hAnsi="Times New Roman"/>
                <w:sz w:val="20"/>
              </w:rPr>
            </w:pPr>
            <w:r>
              <w:rPr>
                <w:rFonts w:ascii="Times New Roman" w:hAnsi="Times New Roman"/>
                <w:sz w:val="20"/>
              </w:rPr>
              <w:t>Treasury plus 10 basis points prior to May 15, 2031 (the date that is one month prior to the scheduled maturity date of the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At any time on or after May 15, 2031 (the date that is one month prior to the scheduled maturity date of the Notes), we may redeem the Notes at par.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Accrued and unpaid interest, if any, will be paid up to, but excluding, the optional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2033 Notes: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Treasury plus 15 basis points prior to April 15, 2033 (the date that is two months prior to the scheduled maturity date of the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At any time on or after April 15, 2033 (the date that is two months prior to the scheduled maturity date of the Notes), we may redeem the Notes at par.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Accrued and unpaid interest, if any, will be paid up to, but excluding, the optional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2036 Notes: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Treasury plus 15 basis points prior to March 15, 2036 (the date that is three months prior to the scheduled maturity date of the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At any time on or after March 15, 2036 (the date that is three months prior to the scheduled maturity date of the Notes), we may redeem the Notes at par.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Accrued and unpaid interest, if any, will be paid up to, but excluding, the optional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Special Mandatory Redemption Provisions: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As described in the Preliminary Prospectus Supplement dated June 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Change of Control Offer: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As described in the Preliminary Prospectus Supplement.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Legal Format: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SEC-registered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Trade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June 2,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Settlement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T+4; June 8,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Joint Book-Running 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20"/>
              <w:jc w:val="left"/>
              <w:rPr>
                <w:rFonts w:ascii="Times New Roman" w:hAnsi="Times New Roman"/>
                <w:sz w:val="20"/>
              </w:rPr>
            </w:pPr>
            <w:r>
              <w:rPr>
                <w:rFonts w:ascii="Times New Roman" w:hAnsi="Times New Roman"/>
                <w:sz w:val="20"/>
              </w:rPr>
              <w:t>HSBC Securities (USA)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Senior Co-Managers: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M&amp;T Securities,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443510 AM4</w:t>
            </w:r>
          </w:p>
          <w:p>
            <w:pPr>
              <w:pStyle w:val="TableContents"/>
              <w:bidi w:val="0"/>
              <w:spacing w:before="0" w:after="0"/>
              <w:jc w:val="left"/>
              <w:rPr>
                <w:rFonts w:ascii="Times New Roman" w:hAnsi="Times New Roman"/>
                <w:sz w:val="20"/>
              </w:rPr>
            </w:pPr>
            <w:r>
              <w:rPr>
                <w:rFonts w:ascii="Times New Roman" w:hAnsi="Times New Roman"/>
                <w:sz w:val="20"/>
              </w:rPr>
              <w:t>2033 Notes: 443510 AN2</w:t>
            </w:r>
          </w:p>
          <w:p>
            <w:pPr>
              <w:pStyle w:val="TableContents"/>
              <w:bidi w:val="0"/>
              <w:spacing w:before="0" w:after="20"/>
              <w:jc w:val="left"/>
              <w:rPr>
                <w:rFonts w:ascii="Times New Roman" w:hAnsi="Times New Roman"/>
                <w:sz w:val="20"/>
              </w:rPr>
            </w:pPr>
            <w:r>
              <w:rPr>
                <w:rFonts w:ascii="Times New Roman" w:hAnsi="Times New Roman"/>
                <w:sz w:val="20"/>
              </w:rPr>
              <w:t>2036 Notes: 443510 AP7</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ISIN: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US443510AM41</w:t>
            </w:r>
          </w:p>
          <w:p>
            <w:pPr>
              <w:pStyle w:val="TableContents"/>
              <w:bidi w:val="0"/>
              <w:spacing w:before="0" w:after="0"/>
              <w:jc w:val="left"/>
              <w:rPr>
                <w:rFonts w:ascii="Times New Roman" w:hAnsi="Times New Roman"/>
                <w:sz w:val="20"/>
              </w:rPr>
            </w:pPr>
            <w:r>
              <w:rPr>
                <w:rFonts w:ascii="Times New Roman" w:hAnsi="Times New Roman"/>
                <w:sz w:val="20"/>
              </w:rPr>
              <w:t>2033 Notes: US443510AN24</w:t>
            </w:r>
          </w:p>
          <w:p>
            <w:pPr>
              <w:pStyle w:val="TableContents"/>
              <w:bidi w:val="0"/>
              <w:spacing w:before="0" w:after="20"/>
              <w:jc w:val="left"/>
              <w:rPr>
                <w:rFonts w:ascii="Times New Roman" w:hAnsi="Times New Roman"/>
                <w:sz w:val="20"/>
              </w:rPr>
            </w:pPr>
            <w:r>
              <w:rPr>
                <w:rFonts w:ascii="Times New Roman" w:hAnsi="Times New Roman"/>
                <w:sz w:val="20"/>
              </w:rPr>
              <w:t>2036 Notes: US443510AP71</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Expected Ratings (Moody’s / S&amp;P / Fitch)*:</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[intentionally omitted]</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underwriters expect to deliver the securities to purchasers on or about June 8, 2026, which will be the fourth business day following the date of pricing of the securities (such settlement cycle being herein referred to as “T+4”). Under Rule 15c6-1 of the Securities Exchange Act of 1934, as amended, trades in the secondary market generally are required to settle in one business day, unless the parties to any such trade expressly agree otherwise. Accordingly, purchasers who wish to trade the securities prior to the business day before the delivery of the securities will be required, by virtue of the fact that the securities initially will settle in T+4, to specify an alternate settlement cycle at the time of any such trade to prevent a failed settlement. Purchasers of the securities who wish to trade the securities prior to the business day before the delivery of the securities should consult their own advisor.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rating is not a recommendation to buy, sell or hold securities and may be subject to revision or withdrawal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w:t>
      </w:r>
    </w:p>
    <w:p>
      <w:pPr>
        <w:pStyle w:val="TextBody"/>
        <w:bidi w:val="0"/>
        <w:spacing w:before="0" w:after="0"/>
        <w:jc w:val="left"/>
        <w:rPr>
          <w:rFonts w:ascii="Times New Roman" w:hAnsi="Times New Roman"/>
          <w:b/>
          <w:sz w:val="20"/>
        </w:rPr>
      </w:pPr>
      <w:r>
        <w:rPr>
          <w:rFonts w:ascii="Times New Roman" w:hAnsi="Times New Roman"/>
          <w:b/>
          <w:sz w:val="20"/>
        </w:rPr>
        <w:t xml:space="preserve">SEC for more complete information about the issuer and this offering. You may get these documents for free by visiting EDGAR on the SEC’s website at www.sec.gov. </w:t>
      </w:r>
    </w:p>
    <w:p>
      <w:pPr>
        <w:pStyle w:val="TextBody"/>
        <w:bidi w:val="0"/>
        <w:spacing w:before="240" w:after="0"/>
        <w:jc w:val="left"/>
        <w:rPr>
          <w:rFonts w:ascii="Times New Roman" w:hAnsi="Times New Roman"/>
          <w:b/>
          <w:sz w:val="20"/>
        </w:rPr>
      </w:pPr>
      <w:r>
        <w:rPr>
          <w:rFonts w:ascii="Times New Roman" w:hAnsi="Times New Roman"/>
          <w:b/>
          <w:sz w:val="20"/>
        </w:rPr>
        <w:t xml:space="preserve">Alternatively, the issuer, any underwriter or any dealer participating in the offering will arrange to send you the prospectus if you request it by calling J.P. Morgan Securities LLC collect at (212) 834-4533, BofA Securities, Inc. toll free at (800) 294-1322 or HSBC Securities (USA) Inc. toll-free at (866) 811-8049.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p>
    <w:p>
      <w:pPr>
        <w:pStyle w:val="TextBody"/>
        <w:bidi w:val="0"/>
        <w:spacing w:before="0" w:after="0"/>
        <w:jc w:val="right"/>
        <w:rPr>
          <w:rFonts w:ascii="Times New Roman" w:hAnsi="Times New Roman"/>
          <w:b/>
          <w:sz w:val="20"/>
        </w:rPr>
      </w:pPr>
      <w:bookmarkStart w:id="4" w:name="d103727dex42.htm"/>
      <w:bookmarkStart w:id="5" w:name="ksd103727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HUBBELL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sz w:val="20"/>
        </w:rPr>
      </w:pPr>
      <w:r>
        <w:rPr>
          <w:rFonts w:ascii="Times New Roman" w:hAnsi="Times New Roman"/>
          <w:b/>
          <w:sz w:val="20"/>
        </w:rPr>
        <w:t>U.S. BANK TRUST COMPANY</w:t>
      </w:r>
      <w:r>
        <w:rPr>
          <w:rFonts w:ascii="Times New Roman" w:hAnsi="Times New Roman"/>
          <w:sz w:val="20"/>
        </w:rPr>
        <w:t xml:space="preserve">, </w:t>
      </w:r>
      <w:r>
        <w:rPr>
          <w:rFonts w:ascii="Times New Roman" w:hAnsi="Times New Roman"/>
          <w:b/>
          <w:sz w:val="20"/>
        </w:rPr>
        <w:t>NATIONAL ASSOCIATION,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EIGHTH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June 8, 2026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b/>
          <w:sz w:val="20"/>
        </w:rPr>
        <w:t>Dated as of September</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1995</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4.650% Senior Notes due 2031 </w:t>
      </w:r>
    </w:p>
    <w:p>
      <w:pPr>
        <w:pStyle w:val="TextBody"/>
        <w:bidi w:val="0"/>
        <w:spacing w:before="240" w:after="0"/>
        <w:jc w:val="center"/>
        <w:rPr>
          <w:rFonts w:ascii="Times New Roman" w:hAnsi="Times New Roman"/>
          <w:b/>
          <w:sz w:val="20"/>
        </w:rPr>
      </w:pPr>
      <w:r>
        <w:rPr>
          <w:rFonts w:ascii="Times New Roman" w:hAnsi="Times New Roman"/>
          <w:b/>
          <w:sz w:val="20"/>
        </w:rPr>
        <w:t xml:space="preserve">4.900% Senior Notes due 2033 </w:t>
      </w:r>
    </w:p>
    <w:p>
      <w:pPr>
        <w:pStyle w:val="TextBody"/>
        <w:bidi w:val="0"/>
        <w:spacing w:before="240" w:after="0"/>
        <w:jc w:val="center"/>
        <w:rPr>
          <w:rFonts w:ascii="Times New Roman" w:hAnsi="Times New Roman"/>
          <w:b/>
          <w:sz w:val="20"/>
        </w:rPr>
      </w:pPr>
      <w:r>
        <w:rPr>
          <w:rFonts w:ascii="Times New Roman" w:hAnsi="Times New Roman"/>
          <w:b/>
          <w:sz w:val="20"/>
        </w:rPr>
        <w:t xml:space="preserve">5.150% Senior Notes due 2036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EIGHTH SUPPLEMENTAL INDENTURE, dated as of June 8, 2026 (this “</w:t>
      </w:r>
      <w:r>
        <w:rPr>
          <w:rFonts w:ascii="Times New Roman" w:hAnsi="Times New Roman"/>
          <w:b/>
          <w:sz w:val="20"/>
        </w:rPr>
        <w:t>Eighth Supplemental Indenture</w:t>
      </w:r>
      <w:r>
        <w:rPr>
          <w:rFonts w:ascii="Times New Roman" w:hAnsi="Times New Roman"/>
          <w:sz w:val="20"/>
        </w:rPr>
        <w:t>”), between HUBBELL INCORPORATED, a Connecticut corporation (and any person that succeeds thereto, and is substituted therefor, under the terms of the Indenture (as defined below), the “</w:t>
      </w:r>
      <w:r>
        <w:rPr>
          <w:rFonts w:ascii="Times New Roman" w:hAnsi="Times New Roman"/>
          <w:b/>
          <w:sz w:val="20"/>
        </w:rPr>
        <w:t>Company</w:t>
      </w:r>
      <w:r>
        <w:rPr>
          <w:rFonts w:ascii="Times New Roman" w:hAnsi="Times New Roman"/>
          <w:sz w:val="20"/>
        </w:rPr>
        <w:t>”),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Chemical Bank (the “</w:t>
      </w:r>
      <w:r>
        <w:rPr>
          <w:rFonts w:ascii="Times New Roman" w:hAnsi="Times New Roman"/>
          <w:b/>
          <w:sz w:val="20"/>
        </w:rPr>
        <w:t>Original Trustee</w:t>
      </w:r>
      <w:r>
        <w:rPr>
          <w:rFonts w:ascii="Times New Roman" w:hAnsi="Times New Roman"/>
          <w:sz w:val="20"/>
        </w:rPr>
        <w:t>”) executed and delivered an Indenture, dated as of September 15, 1995 (the “</w:t>
      </w:r>
      <w:r>
        <w:rPr>
          <w:rFonts w:ascii="Times New Roman" w:hAnsi="Times New Roman"/>
          <w:b/>
          <w:sz w:val="20"/>
        </w:rPr>
        <w:t>Base Indenture</w:t>
      </w:r>
      <w:r>
        <w:rPr>
          <w:rFonts w:ascii="Times New Roman" w:hAnsi="Times New Roman"/>
          <w:sz w:val="20"/>
        </w:rPr>
        <w:t>” as heretofore supplemented and as amended and supplemented by this Eighth Supplemental Indenture, the “</w:t>
      </w:r>
      <w:r>
        <w:rPr>
          <w:rFonts w:ascii="Times New Roman" w:hAnsi="Times New Roman"/>
          <w:b/>
          <w:sz w:val="20"/>
        </w:rPr>
        <w:t>Indenture</w:t>
      </w:r>
      <w:r>
        <w:rPr>
          <w:rFonts w:ascii="Times New Roman" w:hAnsi="Times New Roman"/>
          <w:sz w:val="20"/>
        </w:rPr>
        <w:t xml:space="preserve">”), to provide for the issuance by the Company, from time to time, of senior unsecured debt securities, consisting of debentures, notes, bonds and/or other unsecured evidences of indebtedness,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WHEREAS, subsequent to the date of the Base Indenture, The Bank of New York Mellon Trust Company, N.A. (the “</w:t>
      </w:r>
      <w:r>
        <w:rPr>
          <w:rFonts w:ascii="Times New Roman" w:hAnsi="Times New Roman"/>
          <w:b/>
          <w:sz w:val="20"/>
        </w:rPr>
        <w:t>Initial Successor Trustee</w:t>
      </w:r>
      <w:r>
        <w:rPr>
          <w:rFonts w:ascii="Times New Roman" w:hAnsi="Times New Roman"/>
          <w:sz w:val="20"/>
        </w:rPr>
        <w:t xml:space="preserve">”) acquired the trustee business of a successor to the Original Trustee and succeeded the Original Trustee as the Initial Successor Trustee under the Base Indenture as heretofore supplemented;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designate the Trustee as trustee under the Base Indenture solely with respect to the Notes (as defined below) and any other Debt Securities issued thereunder for which the Trustee may be designated from time to time as trustee, in lieu of the Initial Successor Trustee, and the Trustee desires to accept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previously issued (a) $300,000,000 aggregate principal amount of 5.95% Senior Notes due 2018 pursuant to that certain First Supplemental Indenture, dated as of June 2, 2008, between the Company and the Initial Successor Trustee, which 5.95% Senior Notes due 2018 the Company has previously redeemed in full, (b) $300,000,000 aggregate principal amount of 3.625% Senior Notes due 2022 pursuant to that certain Second Supplemental Indenture, dated as of November 17, 2010, between the Company and the Initial Successor Trustee, which 3.625% Senior Notes due 2022 the Company has previously redeemed in full, (c) $400,000,000 aggregate principal amount of 3.350% Senior Notes due 2026 pursuant to that certain Third Supplemental Indenture, dated as of March 1, 2016, between the Company and the Initial Successor Trustee, (d) $300,000,000 aggregate principal amount of 3.150% Senior Notes due 2027 pursuant to that certain Fourth Supplemental Indenture, dated as of August 3, 2017, between the Company and the Initial Successor Trustee, (e) $450,000,000 aggregate principal amount of 3.500% Senior Notes due 2028 pursuant to that certain Fifth Supplemental Indenture, dated as of February 2, 2018, between the Company and the Initial Successor Trustee, (f) $300,000,000 aggregate principal amount of 2.300% Senior Notes due 2031 pursuant to that certain Sixth Supplemental Indenture, dated as of March 12, 2021, between the Company and the Initial Successor Trustee, and (g) $400,000,000 aggregate principal amount of 4.800% Senior Notes due 2035 pursuant to that certain Seventh Supplemental Indenture, dated as of November 14, 2025,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WHEREAS, pursuant to the resolutions of the Board of Directors of the Company, dated as of April 24, 2026, the Company authorized the creation and issuance of three series of its Debt Securities under the Base Indenture, designated as the “4.650% Senior Notes due 2031” in the initial aggregate principal amount of $500,000,000 (the “</w:t>
      </w:r>
      <w:r>
        <w:rPr>
          <w:rFonts w:ascii="Times New Roman" w:hAnsi="Times New Roman"/>
          <w:b/>
          <w:sz w:val="20"/>
        </w:rPr>
        <w:t>2031 Notes</w:t>
      </w:r>
      <w:r>
        <w:rPr>
          <w:rFonts w:ascii="Times New Roman" w:hAnsi="Times New Roman"/>
          <w:sz w:val="20"/>
        </w:rPr>
        <w:t>”), “4.900% Senior Notes due 2033” in the initial aggregate principal amount of $700,000,000 (the “</w:t>
      </w:r>
      <w:r>
        <w:rPr>
          <w:rFonts w:ascii="Times New Roman" w:hAnsi="Times New Roman"/>
          <w:b/>
          <w:sz w:val="20"/>
        </w:rPr>
        <w:t>2033 Notes</w:t>
      </w:r>
      <w:r>
        <w:rPr>
          <w:rFonts w:ascii="Times New Roman" w:hAnsi="Times New Roman"/>
          <w:sz w:val="20"/>
        </w:rPr>
        <w:t>”) and “5.150% Senior Notes due 2036” in the initial aggregate principal amount of $700,000,000 (the “</w:t>
      </w:r>
      <w:r>
        <w:rPr>
          <w:rFonts w:ascii="Times New Roman" w:hAnsi="Times New Roman"/>
          <w:b/>
          <w:sz w:val="20"/>
        </w:rPr>
        <w:t>2036 Notes</w:t>
      </w:r>
      <w:r>
        <w:rPr>
          <w:rFonts w:ascii="Times New Roman" w:hAnsi="Times New Roman"/>
          <w:sz w:val="20"/>
        </w:rPr>
        <w:t>”, and, together with the 2031 Notes and the 2033 Notes, the “</w:t>
      </w:r>
      <w:r>
        <w:rPr>
          <w:rFonts w:ascii="Times New Roman" w:hAnsi="Times New Roman"/>
          <w:b/>
          <w:sz w:val="20"/>
        </w:rPr>
        <w:t>Notes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w:t>
      </w:r>
      <w:r>
        <w:rPr>
          <w:rFonts w:ascii="Times New Roman" w:hAnsi="Times New Roman"/>
          <w:sz w:val="20"/>
          <w:u w:val="single"/>
        </w:rPr>
        <w:t>Section 11.01</w:t>
      </w:r>
      <w:r>
        <w:rPr>
          <w:rFonts w:ascii="Times New Roman" w:hAnsi="Times New Roman"/>
          <w:sz w:val="20"/>
        </w:rPr>
        <w:t xml:space="preserve"> of the Base Indenture provides that, without prior notice to or the consent of any Holders, the Company, when authorized by a Board Resolution, and the Trustee, at any time and from time to time, may enter into one or more indentures supplemental to the Base Indenture as heretofore supplemented to establish the forms or terms of Debt Securities as permitted by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3.01</w:t>
      </w:r>
      <w:r>
        <w:rPr>
          <w:rFonts w:ascii="Times New Roman" w:hAnsi="Times New Roman"/>
          <w:sz w:val="20"/>
        </w:rPr>
        <w:t xml:space="preserve">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establish the forms and terms of the Notes in accordance with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3.01</w:t>
      </w:r>
      <w:r>
        <w:rPr>
          <w:rFonts w:ascii="Times New Roman" w:hAnsi="Times New Roman"/>
          <w:sz w:val="20"/>
        </w:rPr>
        <w:t xml:space="preserve">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determined that this Eighth Supplemental Indenture is authorized and permitted by </w:t>
      </w:r>
      <w:r>
        <w:rPr>
          <w:rFonts w:ascii="Times New Roman" w:hAnsi="Times New Roman"/>
          <w:sz w:val="20"/>
          <w:u w:val="single"/>
        </w:rPr>
        <w:t>Section 11.01</w:t>
      </w:r>
      <w:r>
        <w:rPr>
          <w:rFonts w:ascii="Times New Roman" w:hAnsi="Times New Roman"/>
          <w:sz w:val="20"/>
        </w:rPr>
        <w:t xml:space="preserve"> of the Base Indenture and has delivered to the Trustee an Opinion of Counsel and an Officers’ Certificate to that effect and an Opinion of Counsel and an Officers’ Certificate pursuant to </w:t>
      </w:r>
      <w:r>
        <w:rPr>
          <w:rFonts w:ascii="Times New Roman" w:hAnsi="Times New Roman"/>
          <w:sz w:val="20"/>
          <w:u w:val="single"/>
        </w:rPr>
        <w:t>Section 1.02</w:t>
      </w:r>
      <w:r>
        <w:rPr>
          <w:rFonts w:ascii="Times New Roman" w:hAnsi="Times New Roman"/>
          <w:sz w:val="20"/>
        </w:rPr>
        <w:t xml:space="preserve"> of the Base Indenture to the effect that all conditions precedent provided for in the Base Indenture as heretofore supplemented to the Trustee’s execution and delivery of this Eighth Supplemental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is subject to the provisions of the Trust Indenture Act that are required to be part of the Indenture and shall, to the extent applicable, be governed by such provisions;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Eighth Supplemental Indenture a valid agreement of the Company, in accordance with its terms, and to make the Notes, when executed by the Company and authenticated and delivered by the Trustee, the valid obligations of the Company, have been performed, and the execution and delivery of this Eighth Supplemental Indenture has been duly authorized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covenants and agreements set forth herein and for other good and valuable consideration, the receipt and sufficiency of which are hereby acknowledged,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i/>
          <w:sz w:val="20"/>
        </w:rPr>
        <w:t>Definition of Terms</w:t>
      </w:r>
      <w:r>
        <w:rPr>
          <w:rFonts w:ascii="Times New Roman" w:hAnsi="Times New Roman"/>
          <w:b/>
          <w:sz w:val="20"/>
        </w:rPr>
        <w:t>.</w:t>
      </w:r>
      <w:r>
        <w:rPr>
          <w:rFonts w:ascii="Times New Roman" w:hAnsi="Times New Roman"/>
          <w:sz w:val="20"/>
        </w:rPr>
        <w:t xml:space="preserve"> For all purposes of this Eighth Supplemental Indenture, except as otherwise expressly provided or unless the context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(a) a term defined in the Base Indenture and not otherwise defined herein has the same meaning when used in this Eighth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terms have the meanings given to them in this </w:t>
      </w:r>
      <w:r>
        <w:rPr>
          <w:rFonts w:ascii="Times New Roman" w:hAnsi="Times New Roman"/>
          <w:sz w:val="20"/>
          <w:u w:val="single"/>
        </w:rPr>
        <w:t>Section 1.1(b)</w:t>
      </w:r>
      <w:r>
        <w:rPr>
          <w:rFonts w:ascii="Times New Roman" w:hAnsi="Times New Roman"/>
          <w:sz w:val="20"/>
        </w:rPr>
        <w:t xml:space="preserve"> and shall have the meanings set forth below for purposes of this Eighth Supplemental Indenture and the Base Indenture as it relates to the Notes created hereby (it being understood that any such terms appearing in the Base Indenture shall, with respect to the Notes, be deemed amended and restated, and superseded, in their entirety by the following): </w:t>
      </w:r>
    </w:p>
    <w:p>
      <w:pPr>
        <w:pStyle w:val="TextBody"/>
        <w:bidi w:val="0"/>
        <w:spacing w:before="120" w:after="0"/>
        <w:jc w:val="left"/>
        <w:rPr/>
      </w:pPr>
      <w:r>
        <w:rPr/>
        <w:t>“</w:t>
      </w:r>
      <w:r>
        <w:rPr>
          <w:rFonts w:ascii="Times New Roman" w:hAnsi="Times New Roman"/>
          <w:b/>
          <w:sz w:val="20"/>
        </w:rPr>
        <w:t>Additional Notes</w:t>
      </w:r>
      <w:r>
        <w:rPr>
          <w:rFonts w:ascii="Times New Roman" w:hAnsi="Times New Roman"/>
          <w:sz w:val="20"/>
        </w:rPr>
        <w:t xml:space="preserve">” shall have the meaning set forth in </w:t>
      </w:r>
      <w:r>
        <w:rPr>
          <w:rFonts w:ascii="Times New Roman" w:hAnsi="Times New Roman"/>
          <w:sz w:val="20"/>
          <w:u w:val="single"/>
        </w:rPr>
        <w:t>Section 8.1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Applicable Premium</w:t>
      </w:r>
      <w:r>
        <w:rPr>
          <w:rFonts w:ascii="Times New Roman" w:hAnsi="Times New Roman"/>
          <w:sz w:val="20"/>
        </w:rPr>
        <w:t xml:space="preserve">” shall, with respect to each series of Notes, as applicable, have the meaning set forth in Exhibits A-1, A-2 and A-3 attached hereto, as applicable. </w:t>
      </w:r>
    </w:p>
    <w:p>
      <w:pPr>
        <w:pStyle w:val="TextBody"/>
        <w:bidi w:val="0"/>
        <w:spacing w:before="240" w:after="0"/>
        <w:jc w:val="left"/>
        <w:rPr/>
      </w:pPr>
      <w:r>
        <w:rPr/>
        <w:t>“</w:t>
      </w:r>
      <w:r>
        <w:rPr>
          <w:rFonts w:ascii="Times New Roman" w:hAnsi="Times New Roman"/>
          <w:b/>
          <w:sz w:val="20"/>
        </w:rPr>
        <w:t>Attributable Debt</w:t>
      </w:r>
      <w:r>
        <w:rPr>
          <w:rFonts w:ascii="Times New Roman" w:hAnsi="Times New Roman"/>
          <w:sz w:val="20"/>
        </w:rPr>
        <w:t xml:space="preserve">” means, with respect to a Sale and Leaseback Transaction with respect to any Principal Property, the lesser of: (a) the fair market value of such property (as determined in good faith by the Company’s Board of Directors at the time of entering into such Sale and Leaseback Transaction); or (b) the present value of the total net amount of rent required to be paid under such lease during the remaining term thereof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such lease (or, if not practicable to determine such rate, the weighted average interest rate per annum borne by the applicable series of Notes) compounded semi-annually. In the case of any lease which is terminable by the lessee upon the payment of a penalty, such net amount will be the lesser of the net amount determined assuming termination upon the first date such lease may be terminated (in which case the net amount will also include the amount of the penalty, but no rent will be considered as required to be paid under such lease subsequent to the first date upon which it may be so terminated) or the net amount determined assuming no such termination.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as to any Person, the board of directors or managers, as applicable, of such Person (or, if such Person is a partnership, the board of directors or other governing body of the general partner of such Person) or any authorized committee thereof.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the Notes, any day other than a Saturday, Sunday or other day on which banking institutions in New York City or in the city where the Corporate Trust Office or Place of Payment is located are authorized or obligated by law, regulation or executive order to close.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shall, with respect to each series of Notes, as applicable, have the meaning set forth in Exhibits A-1, A-2 and A-3 attached hereto, as applicable. </w:t>
      </w:r>
    </w:p>
    <w:p>
      <w:pPr>
        <w:pStyle w:val="TextBody"/>
        <w:bidi w:val="0"/>
        <w:spacing w:before="240" w:after="0"/>
        <w:jc w:val="left"/>
        <w:rPr/>
      </w:pPr>
      <w:r>
        <w:rPr/>
        <w:t>“</w:t>
      </w:r>
      <w:r>
        <w:rPr>
          <w:rFonts w:ascii="Times New Roman" w:hAnsi="Times New Roman"/>
          <w:b/>
          <w:sz w:val="20"/>
        </w:rPr>
        <w:t>Consolidated Net Tangible Assets</w:t>
      </w:r>
      <w:r>
        <w:rPr>
          <w:rFonts w:ascii="Times New Roman" w:hAnsi="Times New Roman"/>
          <w:sz w:val="20"/>
        </w:rPr>
        <w:t xml:space="preserve">” means, at any time, the excess over current liabilities of all assets, less goodwill, trademarks, patents, other like intangibles and the minority interests of others in Subsidiaries, of the Company and its consolidated Subsidiaries, determined on a consolidated basis in accordance with generally accepted accounting principles, as of the end of the most recently completed accounting period of the Company for which financial information is then available. </w:t>
      </w:r>
    </w:p>
    <w:p>
      <w:pPr>
        <w:pStyle w:val="TextBody"/>
        <w:bidi w:val="0"/>
        <w:spacing w:before="240" w:after="0"/>
        <w:jc w:val="left"/>
        <w:rPr/>
      </w:pPr>
      <w:r>
        <w:rPr/>
        <w:t>“</w:t>
      </w:r>
      <w:r>
        <w:rPr>
          <w:rFonts w:ascii="Times New Roman" w:hAnsi="Times New Roman"/>
          <w:b/>
          <w:sz w:val="20"/>
        </w:rPr>
        <w:t>Corporation</w:t>
      </w:r>
      <w:r>
        <w:rPr>
          <w:rFonts w:ascii="Times New Roman" w:hAnsi="Times New Roman"/>
          <w:sz w:val="20"/>
        </w:rPr>
        <w:t xml:space="preserve">” means any corporation, association, company (including any joint stock company and limited liability company) and business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Debt</w:t>
      </w:r>
      <w:r>
        <w:rPr>
          <w:rFonts w:ascii="Times New Roman" w:hAnsi="Times New Roman"/>
          <w:sz w:val="20"/>
        </w:rPr>
        <w:t xml:space="preserve">” shall have the meaning set forth in </w:t>
      </w:r>
      <w:r>
        <w:rPr>
          <w:rFonts w:ascii="Times New Roman" w:hAnsi="Times New Roman"/>
          <w:sz w:val="20"/>
          <w:u w:val="single"/>
        </w:rPr>
        <w:t>Section 12.07</w:t>
      </w:r>
      <w:r>
        <w:rPr>
          <w:rFonts w:ascii="Times New Roman" w:hAnsi="Times New Roman"/>
          <w:sz w:val="20"/>
        </w:rPr>
        <w:t xml:space="preserve"> of the Base Indenture (as modified by the Eighth Supplemental Indenture). </w:t>
      </w:r>
    </w:p>
    <w:p>
      <w:pPr>
        <w:pStyle w:val="TextBody"/>
        <w:bidi w:val="0"/>
        <w:spacing w:before="240" w:after="0"/>
        <w:jc w:val="left"/>
        <w:rPr/>
      </w:pPr>
      <w:r>
        <w:rPr/>
        <w:t>“</w:t>
      </w:r>
      <w:r>
        <w:rPr>
          <w:rFonts w:ascii="Times New Roman" w:hAnsi="Times New Roman"/>
          <w:b/>
          <w:sz w:val="20"/>
        </w:rPr>
        <w:t>Discharged</w:t>
      </w:r>
      <w:r>
        <w:rPr>
          <w:rFonts w:ascii="Times New Roman" w:hAnsi="Times New Roman"/>
          <w:sz w:val="20"/>
        </w:rPr>
        <w:t xml:space="preserve">” means that the Company shall be deemed to have paid and discharged the entire indebtedness represented by, and obligations under, the Notes of such series and to have satisfied all the obligations under the Indenture relating to the Notes of such series (and the Trustee, at the expense of the Company, shall execute proper instruments acknowledging the same), except (a) the rights of Holders of the Notes of such series to receive, from the trust fund described in </w:t>
      </w:r>
      <w:r>
        <w:rPr>
          <w:rFonts w:ascii="Times New Roman" w:hAnsi="Times New Roman"/>
          <w:sz w:val="20"/>
          <w:u w:val="single"/>
        </w:rPr>
        <w:t>Section 15.02(1)</w:t>
      </w:r>
      <w:r>
        <w:rPr>
          <w:rFonts w:ascii="Times New Roman" w:hAnsi="Times New Roman"/>
          <w:sz w:val="20"/>
        </w:rPr>
        <w:t xml:space="preserve"> of the Base Indenture (as modified by the Eighth Supplemental Indenture), payment of the principal of (and premium, if any) and interest on such Notes when such payments are due, (b) the Company’s obligations with respect to the Notes of such series under </w:t>
      </w:r>
      <w:r>
        <w:rPr>
          <w:rFonts w:ascii="Times New Roman" w:hAnsi="Times New Roman"/>
          <w:sz w:val="20"/>
          <w:u w:val="single"/>
        </w:rPr>
        <w:t>Sections 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12.03</w:t>
      </w:r>
      <w:r>
        <w:rPr>
          <w:rFonts w:ascii="Times New Roman" w:hAnsi="Times New Roman"/>
          <w:sz w:val="20"/>
        </w:rPr>
        <w:t xml:space="preserve"> and </w:t>
      </w:r>
      <w:r>
        <w:rPr>
          <w:rFonts w:ascii="Times New Roman" w:hAnsi="Times New Roman"/>
          <w:sz w:val="20"/>
          <w:u w:val="single"/>
        </w:rPr>
        <w:t>15.03</w:t>
      </w:r>
      <w:r>
        <w:rPr>
          <w:rFonts w:ascii="Times New Roman" w:hAnsi="Times New Roman"/>
          <w:sz w:val="20"/>
        </w:rPr>
        <w:t xml:space="preserve"> and under </w:t>
      </w:r>
      <w:r>
        <w:rPr>
          <w:rFonts w:ascii="Times New Roman" w:hAnsi="Times New Roman"/>
          <w:sz w:val="20"/>
          <w:u w:val="single"/>
        </w:rPr>
        <w:t>Section 6.07</w:t>
      </w:r>
      <w:r>
        <w:rPr>
          <w:rFonts w:ascii="Times New Roman" w:hAnsi="Times New Roman"/>
          <w:sz w:val="20"/>
        </w:rPr>
        <w:t xml:space="preserve"> of the Base Indenture, as supplemented and amended as of the relevant time, and (c) the rights, powers, trusts, duties and immunities of the Trustee under the Base Indenture, as supplemented and amended as of the relevant time.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shall have the meaning set forth in </w:t>
      </w:r>
      <w:r>
        <w:rPr>
          <w:rFonts w:ascii="Times New Roman" w:hAnsi="Times New Roman"/>
          <w:sz w:val="20"/>
          <w:u w:val="single"/>
        </w:rPr>
        <w:t>Section 2.4</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Funded Debt</w:t>
      </w:r>
      <w:r>
        <w:rPr>
          <w:rFonts w:ascii="Times New Roman" w:hAnsi="Times New Roman"/>
          <w:sz w:val="20"/>
        </w:rPr>
        <w:t xml:space="preserve">” means Debt which matures more than one year from the date of creation, or which is extendable or renewable at the sole option of the obligor so that it may become payable more than one year from such date or which is classified, in accordance with United States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 Funded Debt does not include (a) obligations created pursuant to leases, (b)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(c) any Debt for which money in the amount necessary for the payment or redemption of such Debt is deposited in trust either at or before the maturity date thereof. </w:t>
      </w:r>
    </w:p>
    <w:p>
      <w:pPr>
        <w:pStyle w:val="TextBody"/>
        <w:bidi w:val="0"/>
        <w:spacing w:before="240" w:after="0"/>
        <w:jc w:val="left"/>
        <w:rPr/>
      </w:pPr>
      <w:r>
        <w:rPr/>
        <w:t>“</w:t>
      </w:r>
      <w:r>
        <w:rPr>
          <w:rFonts w:ascii="Times New Roman" w:hAnsi="Times New Roman"/>
          <w:b/>
          <w:sz w:val="20"/>
        </w:rPr>
        <w:t>Government</w:t>
      </w:r>
      <w:r>
        <w:rPr>
          <w:rFonts w:ascii="Times New Roman" w:hAnsi="Times New Roman"/>
          <w:sz w:val="20"/>
        </w:rPr>
        <w:t xml:space="preserve">” means the government of the United States and any department, agency or instrumentality or political subdivision thereof and the government of any foreign country with which the Company or its Subsidiaries is permitted to do business under applicable law and any department, agency or political subdivision thereof.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means, with respect to any property or assets, any mortgage, pledge, lien or encumbrance on or with respect to such property or assets (including any conditional sale or other title retention agreement having substantially the same economic effect as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Principal Property</w:t>
      </w:r>
      <w:r>
        <w:rPr>
          <w:rFonts w:ascii="Times New Roman" w:hAnsi="Times New Roman"/>
          <w:sz w:val="20"/>
        </w:rPr>
        <w:t xml:space="preserve">” means any parcel of real property and related fixtures or improvements owned by the Company or any Restricted Subsidiary and located in the United States, the net book value of which (after deduction of accumulated depreciation) on the date of determination exceeds 1.0% of Consolidated Net Tangible Assets, other than any such real property and related fixtures or improvements which, as determined in good faith by the Company’s Board of Directors, is not of material importance to the total business conducted by the Company and its Subsidiaries, taken as a whole.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means, with respect to any Interest Payment Date, the June 1 and December 1 (whether or not a Business Day) preceding the relevant Interest Payment Date. </w:t>
      </w:r>
    </w:p>
    <w:p>
      <w:pPr>
        <w:pStyle w:val="TextBody"/>
        <w:bidi w:val="0"/>
        <w:spacing w:before="240" w:after="0"/>
        <w:jc w:val="left"/>
        <w:rPr/>
      </w:pPr>
      <w:r>
        <w:rPr/>
        <w:t>“</w:t>
      </w:r>
      <w:r>
        <w:rPr>
          <w:rFonts w:ascii="Times New Roman" w:hAnsi="Times New Roman"/>
          <w:b/>
          <w:sz w:val="20"/>
        </w:rPr>
        <w:t>Responsible Office</w:t>
      </w:r>
      <w:r>
        <w:rPr>
          <w:rFonts w:ascii="Times New Roman" w:hAnsi="Times New Roman"/>
          <w:sz w:val="20"/>
        </w:rPr>
        <w:t xml:space="preserve">r” when used with respect to the Trustee means any officer of the Trustee and also means, with respect to a particular corporate trust matter, any other officer to whom such matter is referred because of his knowledge of and familiarity with the particular subject and who, in each case, shall have direct responsibility for the administration of this Indenture.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with respect to the Company, any Subsidiary that is a “significant subsidiary” as such term is defined in Rule 1-02(w) of Regulation S-X under the Securities Act; </w:t>
      </w:r>
      <w:r>
        <w:rPr>
          <w:rFonts w:ascii="Times New Roman" w:hAnsi="Times New Roman"/>
          <w:i/>
          <w:sz w:val="20"/>
        </w:rPr>
        <w:t>provided</w:t>
      </w:r>
      <w:r>
        <w:rPr>
          <w:rFonts w:ascii="Times New Roman" w:hAnsi="Times New Roman"/>
          <w:sz w:val="20"/>
        </w:rPr>
        <w:t xml:space="preserve">, that a Subsidiary will not be a Restricted Subsidiary if (a) it is principally engaged in the business of finance, banking, credit, leasing, insurance, investments, financial services or other similar operations, or any combination thereof; (b) it is principally engaged in financing the Company’s operations outside the continental United States of America; (c) substantially all of its assets consist of the capital stock of one or more of the Subsidiaries engaged in the operations described in the preceding clause (a) or (b) or any combination thereof; (d) a majority of its Voting Stock will at the time be owned directly or indirectly by one or more Subsidiaries which are not Restricted Subsidiaries; or (e)(i) it has issued and sold either (x) equity securities with aggregate net proceeds in excess of $10,000,000 or (y) debt securities aggregating $10,000,000 or more in principal amount, or (ii) the Company has sold equity securities of such Subsidiary with aggregate net proceeds to the Company in excess of $10,000,000;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securities referred to in this clause (e) were issued under a registration statement filed with the Commission pursuant to the Securities Act. </w:t>
      </w:r>
    </w:p>
    <w:p>
      <w:pPr>
        <w:pStyle w:val="TextBody"/>
        <w:bidi w:val="0"/>
        <w:spacing w:before="240" w:after="0"/>
        <w:jc w:val="left"/>
        <w:rPr/>
      </w:pPr>
      <w:r>
        <w:rPr/>
        <w:t>“</w:t>
      </w:r>
      <w:r>
        <w:rPr>
          <w:rFonts w:ascii="Times New Roman" w:hAnsi="Times New Roman"/>
          <w:b/>
          <w:sz w:val="20"/>
        </w:rPr>
        <w:t>Sale and Leaseback Transaction</w:t>
      </w:r>
      <w:r>
        <w:rPr>
          <w:rFonts w:ascii="Times New Roman" w:hAnsi="Times New Roman"/>
          <w:sz w:val="20"/>
        </w:rPr>
        <w:t xml:space="preserve">” means any arrangement with any Person providing for the leasing by the Company or any Restricted Subsidiary of any Principal Property which has been or is to be sold or transferred by the Company or such Restricted Subsidiary to such Person with the intention of taking back a lease of such property; </w:t>
      </w:r>
      <w:r>
        <w:rPr>
          <w:rFonts w:ascii="Times New Roman" w:hAnsi="Times New Roman"/>
          <w:i/>
          <w:sz w:val="20"/>
        </w:rPr>
        <w:t>provided</w:t>
      </w:r>
      <w:r>
        <w:rPr>
          <w:rFonts w:ascii="Times New Roman" w:hAnsi="Times New Roman"/>
          <w:sz w:val="20"/>
        </w:rPr>
        <w:t xml:space="preserve">, that “Sale and Leaseback Transaction” will not include such arrangements that were existing on the date of the Eighth Supplemental Indenture or at the time any Person owning a Principal Property becomes a Restricted Subsidiary.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Special Mandatory Redemption Event</w:t>
      </w:r>
      <w:r>
        <w:rPr>
          <w:rFonts w:ascii="Times New Roman" w:hAnsi="Times New Roman"/>
          <w:sz w:val="20"/>
        </w:rPr>
        <w:t xml:space="preserve">” shall, with respect to each series of Notes, as applicable, have the meaning set forth in Exhibits A-1, A-2 and A-3 attached hereto, as applicable. </w:t>
      </w:r>
    </w:p>
    <w:p>
      <w:pPr>
        <w:pStyle w:val="TextBody"/>
        <w:bidi w:val="0"/>
        <w:spacing w:before="240" w:after="0"/>
        <w:jc w:val="left"/>
        <w:rPr/>
      </w:pPr>
      <w:r>
        <w:rPr/>
        <w:t>“</w:t>
      </w:r>
      <w:r>
        <w:rPr>
          <w:rFonts w:ascii="Times New Roman" w:hAnsi="Times New Roman"/>
          <w:b/>
          <w:sz w:val="20"/>
        </w:rPr>
        <w:t>Stated Maturity Date</w:t>
      </w:r>
      <w:r>
        <w:rPr>
          <w:rFonts w:ascii="Times New Roman" w:hAnsi="Times New Roman"/>
          <w:sz w:val="20"/>
        </w:rPr>
        <w:t xml:space="preserve">” shall have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means any Corporation or other entity of which at least a majority of the outstanding capital stock or other equity interests having by the terms thereof ordinary voting power to elect a majority of the directors, managers, trustees or equivalent of such Corporation or other entity, irrespective of whether or not, at the time, capital stock or other equity interests of any other class or classes of such Corporation or other entity have or might have voting power by reason of the happening of any contingency, is at the time, directly or indirectly, owned or controlled by the Company or by one or more Subsidiaries thereof, or by the Company and one or more Subsidiaries thereof. </w:t>
      </w:r>
    </w:p>
    <w:p>
      <w:pPr>
        <w:pStyle w:val="TextBody"/>
        <w:bidi w:val="0"/>
        <w:spacing w:before="240" w:after="0"/>
        <w:jc w:val="left"/>
        <w:rPr/>
      </w:pPr>
      <w:r>
        <w:rPr/>
        <w:t>“</w:t>
      </w:r>
      <w:r>
        <w:rPr>
          <w:rFonts w:ascii="Times New Roman" w:hAnsi="Times New Roman"/>
          <w:b/>
          <w:sz w:val="20"/>
        </w:rPr>
        <w:t>Successor Corporation</w:t>
      </w:r>
      <w:r>
        <w:rPr>
          <w:rFonts w:ascii="Times New Roman" w:hAnsi="Times New Roman"/>
          <w:sz w:val="20"/>
        </w:rPr>
        <w:t xml:space="preserve">” shall have the meaning set forth in </w:t>
      </w:r>
      <w:r>
        <w:rPr>
          <w:rFonts w:ascii="Times New Roman" w:hAnsi="Times New Roman"/>
          <w:sz w:val="20"/>
          <w:u w:val="single"/>
        </w:rPr>
        <w:t>Section 10.01</w:t>
      </w:r>
      <w:r>
        <w:rPr>
          <w:rFonts w:ascii="Times New Roman" w:hAnsi="Times New Roman"/>
          <w:sz w:val="20"/>
        </w:rPr>
        <w:t xml:space="preserve"> of the Base Indenture (as modified by the Eighth Supplemental Indenture). </w:t>
      </w:r>
    </w:p>
    <w:p>
      <w:pPr>
        <w:pStyle w:val="TextBody"/>
        <w:bidi w:val="0"/>
        <w:spacing w:before="240" w:after="0"/>
        <w:jc w:val="left"/>
        <w:rPr/>
      </w:pPr>
      <w:r>
        <w:rPr/>
        <w:t>“</w:t>
      </w:r>
      <w:r>
        <w:rPr>
          <w:rFonts w:ascii="Times New Roman" w:hAnsi="Times New Roman"/>
          <w:b/>
          <w:sz w:val="20"/>
        </w:rPr>
        <w:t>U.S. Government Obligations</w:t>
      </w:r>
      <w:r>
        <w:rPr>
          <w:rFonts w:ascii="Times New Roman" w:hAnsi="Times New Roman"/>
          <w:sz w:val="20"/>
        </w:rPr>
        <w:t xml:space="preserve">” means securities that are (a) direct obligations of the United States for the payment of which its full faith and credit is pledged, or (b) obligations of a Person controlled or supervised by and acting as an agency or instrumentality of the United States the payment of which is unconditionally guaranteed as a full faith and credit obligation by the United States, which, in either case under clause (a) or (b),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w:t>
      </w:r>
    </w:p>
    <w:p>
      <w:pPr>
        <w:pStyle w:val="TextBody"/>
        <w:bidi w:val="0"/>
        <w:spacing w:before="240" w:after="0"/>
        <w:jc w:val="left"/>
        <w:rPr/>
      </w:pPr>
      <w:r>
        <w:rPr/>
        <w:t>“</w:t>
      </w:r>
      <w:r>
        <w:rPr>
          <w:rFonts w:ascii="Times New Roman" w:hAnsi="Times New Roman"/>
          <w:b/>
          <w:sz w:val="20"/>
        </w:rPr>
        <w:t>USA Patriot Act</w:t>
      </w:r>
      <w:r>
        <w:rPr>
          <w:rFonts w:ascii="Times New Roman" w:hAnsi="Times New Roman"/>
          <w:sz w:val="20"/>
        </w:rPr>
        <w:t xml:space="preserve">” shall have the meaning set forth in </w:t>
      </w:r>
      <w:r>
        <w:rPr>
          <w:rFonts w:ascii="Times New Roman" w:hAnsi="Times New Roman"/>
          <w:sz w:val="20"/>
          <w:u w:val="single"/>
        </w:rPr>
        <w:t>Section 10.9</w:t>
      </w:r>
      <w:r>
        <w:rPr>
          <w:rFonts w:ascii="Times New Roman" w:hAnsi="Times New Roman"/>
          <w:sz w:val="20"/>
        </w:rPr>
        <w:t xml:space="preserve">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i/>
          <w:sz w:val="20"/>
        </w:rPr>
        <w:t>Designation and Principal Amount</w:t>
      </w:r>
      <w:r>
        <w:rPr>
          <w:rFonts w:ascii="Times New Roman" w:hAnsi="Times New Roman"/>
          <w:b/>
          <w:sz w:val="20"/>
        </w:rPr>
        <w:t>.</w:t>
      </w:r>
      <w:r>
        <w:rPr>
          <w:rFonts w:ascii="Times New Roman" w:hAnsi="Times New Roman"/>
          <w:sz w:val="20"/>
        </w:rPr>
        <w:t xml:space="preserve"> The Notes may be issued from time to time upon Company Order for the authentication and delivery of the Notes pursuant to </w:t>
      </w:r>
      <w:r>
        <w:rPr>
          <w:rFonts w:ascii="Times New Roman" w:hAnsi="Times New Roman"/>
          <w:sz w:val="20"/>
          <w:u w:val="single"/>
        </w:rPr>
        <w:t>Sections 3.01</w:t>
      </w:r>
      <w:r>
        <w:rPr>
          <w:rFonts w:ascii="Times New Roman" w:hAnsi="Times New Roman"/>
          <w:sz w:val="20"/>
        </w:rPr>
        <w:t xml:space="preserve"> and </w:t>
      </w:r>
      <w:r>
        <w:rPr>
          <w:rFonts w:ascii="Times New Roman" w:hAnsi="Times New Roman"/>
          <w:sz w:val="20"/>
          <w:u w:val="single"/>
        </w:rPr>
        <w:t>3.03</w:t>
      </w:r>
      <w:r>
        <w:rPr>
          <w:rFonts w:ascii="Times New Roman" w:hAnsi="Times New Roman"/>
          <w:sz w:val="20"/>
        </w:rPr>
        <w:t xml:space="preserve"> of the Base Indenture. There is hereby authorized (a) a series of Debt Securities designated as the “4.650% Senior Notes due 2031,” initially limited in aggregate principal amount to $500,000,000, (b) a series of Debt Securities designated as the “4.900% Senior Notes due 2033,” initially limited in aggregate principal amount to $700,000,000 and (c) a series of Debt Securities designated as the “5.150% Senior Notes due 2036,” initially limited in aggregate principal amount to $700,000,000 (in each case, except upon registration of transfer of, or in exchange for, or in lieu of, other Notes pursuant to </w:t>
      </w:r>
      <w:r>
        <w:rPr>
          <w:rFonts w:ascii="Times New Roman" w:hAnsi="Times New Roman"/>
          <w:sz w:val="20"/>
          <w:u w:val="single"/>
        </w:rPr>
        <w:t>Sections 3.03</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11.06</w:t>
      </w:r>
      <w:r>
        <w:rPr>
          <w:rFonts w:ascii="Times New Roman" w:hAnsi="Times New Roman"/>
          <w:sz w:val="20"/>
        </w:rPr>
        <w:t xml:space="preserve"> or </w:t>
      </w:r>
      <w:r>
        <w:rPr>
          <w:rFonts w:ascii="Times New Roman" w:hAnsi="Times New Roman"/>
          <w:sz w:val="20"/>
          <w:u w:val="single"/>
        </w:rPr>
        <w:t>13.07</w:t>
      </w:r>
      <w:r>
        <w:rPr>
          <w:rFonts w:ascii="Times New Roman" w:hAnsi="Times New Roman"/>
          <w:sz w:val="20"/>
        </w:rPr>
        <w:t xml:space="preserve">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i/>
          <w:sz w:val="20"/>
        </w:rPr>
        <w:t>Stated Maturity Date</w:t>
      </w:r>
      <w:r>
        <w:rPr>
          <w:rFonts w:ascii="Times New Roman" w:hAnsi="Times New Roman"/>
          <w:b/>
          <w:sz w:val="20"/>
        </w:rPr>
        <w:t>.</w:t>
      </w:r>
      <w:r>
        <w:rPr>
          <w:rFonts w:ascii="Times New Roman" w:hAnsi="Times New Roman"/>
          <w:sz w:val="20"/>
        </w:rPr>
        <w:t xml:space="preserve"> The 2031 Notes will mature and become due and payable, together with any accrued and unpaid interest thereon, on June 15, 2031 (the “</w:t>
      </w:r>
      <w:r>
        <w:rPr>
          <w:rFonts w:ascii="Times New Roman" w:hAnsi="Times New Roman"/>
          <w:b/>
          <w:sz w:val="20"/>
        </w:rPr>
        <w:t>2031 Notes Stated Maturity Date</w:t>
      </w:r>
      <w:r>
        <w:rPr>
          <w:rFonts w:ascii="Times New Roman" w:hAnsi="Times New Roman"/>
          <w:sz w:val="20"/>
        </w:rPr>
        <w:t>”). The 2033 Notes will mature and become due and payable, together with any accrued and unpaid interest thereon, on June 15, 2033 (the “</w:t>
      </w:r>
      <w:r>
        <w:rPr>
          <w:rFonts w:ascii="Times New Roman" w:hAnsi="Times New Roman"/>
          <w:b/>
          <w:sz w:val="20"/>
        </w:rPr>
        <w:t>2033 Notes Stated Maturity Date</w:t>
      </w:r>
      <w:r>
        <w:rPr>
          <w:rFonts w:ascii="Times New Roman" w:hAnsi="Times New Roman"/>
          <w:sz w:val="20"/>
        </w:rPr>
        <w:t>”). The 2036 Notes will mature and become due and payable, together with any accrued and unpaid interest thereon, on June 15, 2036 (the “</w:t>
      </w:r>
      <w:r>
        <w:rPr>
          <w:rFonts w:ascii="Times New Roman" w:hAnsi="Times New Roman"/>
          <w:b/>
          <w:sz w:val="20"/>
        </w:rPr>
        <w:t>2036 Notes Stated Maturity Date</w:t>
      </w:r>
      <w:r>
        <w:rPr>
          <w:rFonts w:ascii="Times New Roman" w:hAnsi="Times New Roman"/>
          <w:sz w:val="20"/>
        </w:rPr>
        <w:t>” and each of the 2031 Notes Stated Maturity Date, the 2033 Notes Stated Maturity Date, and the 2036 Notes Stated Maturity Date, a “</w:t>
      </w:r>
      <w:r>
        <w:rPr>
          <w:rFonts w:ascii="Times New Roman" w:hAnsi="Times New Roman"/>
          <w:b/>
          <w:sz w:val="20"/>
        </w:rPr>
        <w:t>Stated Maturity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b/>
          <w:i/>
          <w:sz w:val="20"/>
        </w:rPr>
        <w:t>Interest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2031 Notes will bear interest at the rate of 4.650% per annum from June 8, 2026. The 2033 Notes will bear interest at the rate of 4.900% per annum from June 8, 2026. The 2036 Notes will bear interest at the rate of 5.150% per annum from June 8, 2026. Interest on the 2031 Notes, the 2033 Notes and the 2036 Notes will be payable semi-annually in arrears on June 15 and December 15 of each year (each, an “</w:t>
      </w:r>
      <w:r>
        <w:rPr>
          <w:rFonts w:ascii="Times New Roman" w:hAnsi="Times New Roman"/>
          <w:b/>
          <w:sz w:val="20"/>
        </w:rPr>
        <w:t>Interest Payment Date</w:t>
      </w:r>
      <w:r>
        <w:rPr>
          <w:rFonts w:ascii="Times New Roman" w:hAnsi="Times New Roman"/>
          <w:sz w:val="20"/>
        </w:rPr>
        <w:t xml:space="preserve">”), beginning on December 15, 2026, to the Persons in whose names the respective Notes are registered at the close of business on the Regular Record Date preceding the relevant Interest Payment Date. If any Interest Payment Date is not a Business Day, then payment will be made on the next succeeding Business Day, but without any additional interest or other amount. </w:t>
      </w:r>
    </w:p>
    <w:p>
      <w:pPr>
        <w:pStyle w:val="TextBody"/>
        <w:bidi w:val="0"/>
        <w:spacing w:before="240" w:after="0"/>
        <w:jc w:val="left"/>
        <w:rPr>
          <w:rFonts w:ascii="Times New Roman" w:hAnsi="Times New Roman"/>
          <w:sz w:val="20"/>
        </w:rPr>
      </w:pPr>
      <w:r>
        <w:rPr>
          <w:rFonts w:ascii="Times New Roman" w:hAnsi="Times New Roman"/>
          <w:sz w:val="20"/>
        </w:rPr>
        <w:t xml:space="preserve">(b) Interest payable on any Interest Payment Date (and the applicable Stated Maturity Date) with respect to each series of Notes shall be the amount of interest accrued from, and including, the immediately preceding Interest Payment Date in respect of which interest has been paid or duly provided for with respect to the Notes of such series (or from and including the date hereof, if no interest has previously been paid or duly provided for with respect to the Notes of such series) to, but excluding, such Interest Payment Date (or the applicable Stated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Interest on the Notes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b/>
          <w:i/>
          <w:sz w:val="20"/>
        </w:rPr>
        <w:t>Place of Payment and Appointment</w:t>
      </w:r>
      <w:r>
        <w:rPr>
          <w:rFonts w:ascii="Times New Roman" w:hAnsi="Times New Roman"/>
          <w:b/>
          <w:sz w:val="20"/>
        </w:rPr>
        <w:t>.</w:t>
      </w:r>
      <w:r>
        <w:rPr>
          <w:rFonts w:ascii="Times New Roman" w:hAnsi="Times New Roman"/>
          <w:sz w:val="20"/>
        </w:rPr>
        <w:t xml:space="preserve"> Principal of, premium, if any, on and interest on the Notes of any series shall be payable in Dollars, the transfer of the Notes of any series shall be registrable, and the Notes of any series shall be exchangeable for Notes of the same series of a like aggregate principal amount, at the office or agency of the Company maintained for such purpose, which shall initially be the office or agency of the Trustee in Hartford, Connecticut; </w:t>
      </w:r>
      <w:r>
        <w:rPr>
          <w:rFonts w:ascii="Times New Roman" w:hAnsi="Times New Roman"/>
          <w:i/>
          <w:sz w:val="20"/>
        </w:rPr>
        <w:t>provided</w:t>
      </w:r>
      <w:r>
        <w:rPr>
          <w:rFonts w:ascii="Times New Roman" w:hAnsi="Times New Roman"/>
          <w:sz w:val="20"/>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pay principal of, premium, if any, on, and interest on, the Notes of any series in global form registered in the name of or held by The Depository Trust Company (“</w:t>
      </w:r>
      <w:r>
        <w:rPr>
          <w:rFonts w:ascii="Times New Roman" w:hAnsi="Times New Roman"/>
          <w:b/>
          <w:sz w:val="20"/>
        </w:rPr>
        <w:t>DTC</w:t>
      </w:r>
      <w:r>
        <w:rPr>
          <w:rFonts w:ascii="Times New Roman" w:hAnsi="Times New Roman"/>
          <w:sz w:val="20"/>
        </w:rPr>
        <w:t xml:space="preserve">”) or such other U.S. Depositary as any officer of the Company may from time to time designate, or its respective nominee, by wire in immediately available funds to DTC (or such other U.S. Depositary) or its nominee, as the case may be, as the Holder of such Notes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3.01(24) of the Base Indenture, the Company hereby appoints, and the Trustee hereby accepts and acknowledges the appointment of, the Trustee as the trustee under the Indenture for and with respect to the Notes, with the Trustee hereby being vested with all rights, powers, trusts and duties of the Trustee (as defined in the Base Indenture) under the Indenture with respect to the Notes. The Security Registrar for the Notes shall be the Trustee; and the Paying Agent for the Notes shall initially be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b/>
          <w:sz w:val="20"/>
        </w:rPr>
        <w:t>[</w:t>
      </w:r>
      <w:r>
        <w:rPr>
          <w:rFonts w:ascii="Times New Roman" w:hAnsi="Times New Roman"/>
          <w:b/>
          <w:i/>
          <w:sz w:val="20"/>
        </w:rPr>
        <w:t>Reserved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b/>
          <w:i/>
          <w:sz w:val="20"/>
        </w:rPr>
        <w:t>Denominations.</w:t>
      </w:r>
      <w:r>
        <w:rPr>
          <w:rFonts w:ascii="Times New Roman" w:hAnsi="Times New Roman"/>
          <w:sz w:val="20"/>
        </w:rPr>
        <w:t xml:space="preserve"> The Notes will be issued in Dollars and only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b/>
          <w:i/>
          <w:sz w:val="20"/>
        </w:rPr>
        <w:t>Global Notes.</w:t>
      </w:r>
      <w:r>
        <w:rPr>
          <w:rFonts w:ascii="Times New Roman" w:hAnsi="Times New Roman"/>
          <w:sz w:val="20"/>
        </w:rPr>
        <w:t xml:space="preserve"> The Notes will be issued initially in the form of permanent Global Notes in registered form deposited with, or on behalf of, DTC and registered, at the request of DTC, in the name of Cede &amp; Co. Except as set forth in the Base Indenture (as modified by this Eighth Supplemental Indenture), the Global Notes may be transferred, in whole and not in part, only to another nominee of DTC or to a successor of DTC or its nominee. The Company will make principal and interest payments on the Notes represented by the Global Notes to the Paying Agent which in turn will make payment to DTC or its nominee, as the case may be, as the sole registered owner and the sole Holder of the Notes represented by the Global Notes for all purposes under the Indenture. So long as DTC or its nominee is the registered owner of a Global Note, DTC or its nominee, as the case may be, will be considered the sole owner and Holder of the Notes represented by that Global Note for all purposes of the Notes.</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b/>
          <w:i/>
          <w:sz w:val="20"/>
        </w:rPr>
        <w:t>Form of the Notes.</w:t>
      </w:r>
      <w:r>
        <w:rPr>
          <w:rFonts w:ascii="Times New Roman" w:hAnsi="Times New Roman"/>
          <w:sz w:val="20"/>
        </w:rPr>
        <w:t xml:space="preserve"> The form of the Notes and the Trustee’s Certificate of Authentication to be endorsed thereon shall be substantially in the forms attached as Exhibits A-1, A-2 and A-3 hereto, with such changes therein as the officers of the Company executing the Notes (by manual or facsimile signature) may approve, such approval to be conclusively evidenced by their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b/>
          <w:i/>
          <w:sz w:val="20"/>
        </w:rPr>
        <w:t>No Sinking Fund.</w:t>
      </w:r>
      <w:r>
        <w:rPr>
          <w:rFonts w:ascii="Times New Roman" w:hAnsi="Times New Roman"/>
          <w:sz w:val="20"/>
        </w:rPr>
        <w:t xml:space="preserve"> The Notes will not have the benefit of any sinking fund.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i/>
          <w:sz w:val="20"/>
        </w:rPr>
        <w:t>Optional Redemption by Company</w:t>
      </w:r>
      <w:r>
        <w:rPr>
          <w:rFonts w:ascii="Times New Roman" w:hAnsi="Times New Roman"/>
          <w:b/>
          <w:sz w:val="20"/>
        </w:rPr>
        <w:t>.</w:t>
      </w:r>
      <w:r>
        <w:rPr>
          <w:rFonts w:ascii="Times New Roman" w:hAnsi="Times New Roman"/>
          <w:sz w:val="20"/>
        </w:rPr>
        <w:t xml:space="preserve"> The Notes of each series will be redeemable in whole or in part, at the Company’s option, in the manner and on the terms set forth in the Notes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b/>
          <w:i/>
          <w:sz w:val="20"/>
        </w:rPr>
        <w:t>Change of Control Triggering Event</w:t>
      </w:r>
      <w:r>
        <w:rPr>
          <w:rFonts w:ascii="Times New Roman" w:hAnsi="Times New Roman"/>
          <w:b/>
          <w:sz w:val="20"/>
        </w:rPr>
        <w:t>.</w:t>
      </w:r>
      <w:r>
        <w:rPr>
          <w:rFonts w:ascii="Times New Roman" w:hAnsi="Times New Roman"/>
          <w:sz w:val="20"/>
        </w:rPr>
        <w:t xml:space="preserve"> If a Change of Control Triggering Event occurs, unless the Company has (a) exercised its option to redeem the Notes as described in </w:t>
      </w:r>
      <w:r>
        <w:rPr>
          <w:rFonts w:ascii="Times New Roman" w:hAnsi="Times New Roman"/>
          <w:sz w:val="20"/>
          <w:u w:val="single"/>
        </w:rPr>
        <w:t>Section 3.1 hereof</w:t>
      </w:r>
      <w:r>
        <w:rPr>
          <w:rFonts w:ascii="Times New Roman" w:hAnsi="Times New Roman"/>
          <w:sz w:val="20"/>
        </w:rPr>
        <w:t xml:space="preserve">, (b) become required to redeem the Notes as described in </w:t>
      </w:r>
      <w:r>
        <w:rPr>
          <w:rFonts w:ascii="Times New Roman" w:hAnsi="Times New Roman"/>
          <w:sz w:val="20"/>
          <w:u w:val="single"/>
        </w:rPr>
        <w:t>Section 3.3</w:t>
      </w:r>
      <w:r>
        <w:rPr>
          <w:rFonts w:ascii="Times New Roman" w:hAnsi="Times New Roman"/>
          <w:sz w:val="20"/>
        </w:rPr>
        <w:t xml:space="preserve"> hereof or (c) defeased the Notes in accordance with </w:t>
      </w:r>
      <w:r>
        <w:rPr>
          <w:rFonts w:ascii="Times New Roman" w:hAnsi="Times New Roman"/>
          <w:sz w:val="20"/>
          <w:u w:val="single"/>
        </w:rPr>
        <w:t>Article Fifteen</w:t>
      </w:r>
      <w:r>
        <w:rPr>
          <w:rFonts w:ascii="Times New Roman" w:hAnsi="Times New Roman"/>
          <w:sz w:val="20"/>
        </w:rPr>
        <w:t xml:space="preserve"> of the Base Indenture (as modified by this Eighth Supplemental Indenture), the Company shall be required to make an offer to each Holder of the Notes to repurchase all or any part (equal to $2,000 or an integral multiple of $1,000 in excess thereof) of each Holder’s Notes in the manner and on the terms set forth in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b/>
          <w:i/>
          <w:sz w:val="20"/>
        </w:rPr>
        <w:t>Special Mandatory Redemption.</w:t>
      </w:r>
      <w:r>
        <w:rPr>
          <w:rFonts w:ascii="Times New Roman" w:hAnsi="Times New Roman"/>
          <w:sz w:val="20"/>
        </w:rPr>
        <w:t xml:space="preserve"> If a Special Mandatory Redemption Event occurs, the Company will be required to redeem the Notes then outstanding in the manner and on the terms set forth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i/>
          <w:sz w:val="20"/>
        </w:rPr>
        <w:t>Consolidation</w:t>
      </w:r>
      <w:r>
        <w:rPr>
          <w:rFonts w:ascii="Times New Roman" w:hAnsi="Times New Roman"/>
          <w:sz w:val="20"/>
        </w:rPr>
        <w:t xml:space="preserve">, </w:t>
      </w:r>
      <w:r>
        <w:rPr>
          <w:rFonts w:ascii="Times New Roman" w:hAnsi="Times New Roman"/>
          <w:b/>
          <w:i/>
          <w:sz w:val="20"/>
        </w:rPr>
        <w:t>Merger</w:t>
      </w:r>
      <w:r>
        <w:rPr>
          <w:rFonts w:ascii="Times New Roman" w:hAnsi="Times New Roman"/>
          <w:sz w:val="20"/>
        </w:rPr>
        <w:t xml:space="preserve">, </w:t>
      </w:r>
      <w:r>
        <w:rPr>
          <w:rFonts w:ascii="Times New Roman" w:hAnsi="Times New Roman"/>
          <w:b/>
          <w:i/>
          <w:sz w:val="20"/>
        </w:rPr>
        <w:t>Sale or Conveyance</w:t>
      </w:r>
      <w:r>
        <w:rPr>
          <w:rFonts w:ascii="Times New Roman" w:hAnsi="Times New Roman"/>
          <w:b/>
          <w:sz w:val="20"/>
        </w:rPr>
        <w:t>.</w:t>
      </w:r>
      <w:r>
        <w:rPr>
          <w:rFonts w:ascii="Times New Roman" w:hAnsi="Times New Roman"/>
          <w:sz w:val="20"/>
        </w:rPr>
        <w:t xml:space="preserve"> The following provisions shall apply with respect to the Notes (notwithstanding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10.02</w:t>
      </w:r>
      <w:r>
        <w:rPr>
          <w:rFonts w:ascii="Times New Roman" w:hAnsi="Times New Roman"/>
          <w:sz w:val="20"/>
        </w:rPr>
        <w:t xml:space="preserve"> of the Base Indenture, which with respect to the Notes shall be deemed amended and restated, and superseded, in their entirety by the following (it being understood that the second full paragraph of </w:t>
      </w:r>
      <w:r>
        <w:rPr>
          <w:rFonts w:ascii="Times New Roman" w:hAnsi="Times New Roman"/>
          <w:sz w:val="20"/>
          <w:u w:val="single"/>
        </w:rPr>
        <w:t>Section 10.01</w:t>
      </w:r>
      <w:r>
        <w:rPr>
          <w:rFonts w:ascii="Times New Roman" w:hAnsi="Times New Roman"/>
          <w:sz w:val="20"/>
        </w:rPr>
        <w:t xml:space="preserve"> of the Base Indenture shall not apply to the Notes)): </w:t>
      </w:r>
    </w:p>
    <w:p>
      <w:pPr>
        <w:pStyle w:val="TextBody"/>
        <w:bidi w:val="0"/>
        <w:spacing w:before="120" w:after="0"/>
        <w:jc w:val="left"/>
        <w:rPr/>
      </w:pPr>
      <w:r>
        <w:rPr/>
        <w:t>“</w:t>
      </w:r>
      <w:r>
        <w:rPr>
          <w:rFonts w:ascii="Times New Roman" w:hAnsi="Times New Roman"/>
          <w:sz w:val="20"/>
        </w:rPr>
        <w:t xml:space="preserve">Section 10.01. </w:t>
      </w:r>
      <w:r>
        <w:rPr>
          <w:rFonts w:ascii="Times New Roman" w:hAnsi="Times New Roman"/>
          <w:sz w:val="20"/>
          <w:u w:val="single"/>
        </w:rPr>
        <w:t>Company May Consolidate, etc., Only on Certain Terms</w:t>
      </w:r>
      <w:r>
        <w:rPr>
          <w:rFonts w:ascii="Times New Roman" w:hAnsi="Times New Roman"/>
          <w:sz w:val="20"/>
        </w:rPr>
        <w:t xml:space="preserve">. The Company will not consolidate with or merge into any other Corporation or sell or convey its properties and assets substantially as an entirety to any Corporation, unless: </w:t>
      </w:r>
    </w:p>
    <w:p>
      <w:pPr>
        <w:pStyle w:val="TextBody"/>
        <w:bidi w:val="0"/>
        <w:spacing w:before="120" w:after="0"/>
        <w:jc w:val="left"/>
        <w:rPr>
          <w:rFonts w:ascii="Times New Roman" w:hAnsi="Times New Roman"/>
          <w:sz w:val="20"/>
        </w:rPr>
      </w:pPr>
      <w:r>
        <w:rPr>
          <w:rFonts w:ascii="Times New Roman" w:hAnsi="Times New Roman"/>
          <w:sz w:val="20"/>
        </w:rPr>
        <w:t>(a) the Corporation formed by such consolidation or into which the Company is merged or the Corporation which acquires by sale or conveyance the properties and assets of the Company substantially as an entirety (the “</w:t>
      </w:r>
      <w:r>
        <w:rPr>
          <w:rFonts w:ascii="Times New Roman" w:hAnsi="Times New Roman"/>
          <w:b/>
          <w:sz w:val="20"/>
        </w:rPr>
        <w:t>Successor Corporation</w:t>
      </w:r>
      <w:r>
        <w:rPr>
          <w:rFonts w:ascii="Times New Roman" w:hAnsi="Times New Roman"/>
          <w:sz w:val="20"/>
        </w:rPr>
        <w:t xml:space="preserve">”) is a Corporation organized and existing under the laws of the United States, any State thereof or the District of Columbia and will expressly assume, by a supplemental indenture, executed and delivered to the Trustee, in form reasonably satisfactory to the Trustee, the due and punctual payment of the principal of (and premium, if any) and interest on the Notes, and the performance of every covenant of the Indenture on the part of the Company to be performed or observed;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such transaction, no Event of Default, and no event which, after notice or lapse of time, or both, would become an Event of Default, will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or Successor Corporation has delivered to the Trustee an Officers’ Certificate and an Opinion of Counsel each stating that such consolidation, merger, sale or conveyance and such supplemental indenture comply with this </w:t>
      </w:r>
      <w:r>
        <w:rPr>
          <w:rFonts w:ascii="Times New Roman" w:hAnsi="Times New Roman"/>
          <w:sz w:val="20"/>
          <w:u w:val="single"/>
        </w:rPr>
        <w:t>Article Ten</w:t>
      </w:r>
      <w:r>
        <w:rPr>
          <w:rFonts w:ascii="Times New Roman" w:hAnsi="Times New Roman"/>
          <w:sz w:val="20"/>
        </w:rPr>
        <w:t xml:space="preserve"> (as modified by the Eighth Supplemental Indenture) and that all conditions precedent provided for in the Indenture relating to such transaction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Corporation Substituted</w:t>
      </w:r>
      <w:r>
        <w:rPr>
          <w:rFonts w:ascii="Times New Roman" w:hAnsi="Times New Roman"/>
          <w:sz w:val="20"/>
        </w:rPr>
        <w:t xml:space="preserve">. Upon any consolidation with or merger into any other Corporation, or any sale or conveyance of the properties and assets of the Company substantially as an entirety in accordance with </w:t>
      </w:r>
      <w:r>
        <w:rPr>
          <w:rFonts w:ascii="Times New Roman" w:hAnsi="Times New Roman"/>
          <w:sz w:val="20"/>
          <w:u w:val="single"/>
        </w:rPr>
        <w:t>Section 10.01</w:t>
      </w:r>
      <w:r>
        <w:rPr>
          <w:rFonts w:ascii="Times New Roman" w:hAnsi="Times New Roman"/>
          <w:sz w:val="20"/>
        </w:rPr>
        <w:t xml:space="preserve"> (as modified by the Eighth Supplemental Indenture), the Successor Corporation formed by such consolidation or into which the Company is merged or to which such sale or conveyance is made will succeed to, and be substituted for, and may exercise every right and power of, the Company under the Indenture with the same effect as if such Successor Corporation had been named as the Company in the Indenture, and thereafter the Company (which term shall for this purpose mean Hubbell Incorporated or any Successor Corporation which shall theretofore have succeeded thereto, and been substituted therefor, in the manner described in this </w:t>
      </w:r>
      <w:r>
        <w:rPr>
          <w:rFonts w:ascii="Times New Roman" w:hAnsi="Times New Roman"/>
          <w:sz w:val="20"/>
          <w:u w:val="single"/>
        </w:rPr>
        <w:t>Section 10.02</w:t>
      </w:r>
      <w:r>
        <w:rPr>
          <w:rFonts w:ascii="Times New Roman" w:hAnsi="Times New Roman"/>
          <w:sz w:val="20"/>
        </w:rPr>
        <w:t xml:space="preserve"> (as modified by the Eighth Supplemental Indenture)) will be relieved of all obligations and covenants under the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any consolidation, merger, sale or conveyance between or among the Company and its Subsidiaries shall neither be subject to this </w:t>
      </w:r>
      <w:r>
        <w:rPr>
          <w:rFonts w:ascii="Times New Roman" w:hAnsi="Times New Roman"/>
          <w:sz w:val="20"/>
          <w:u w:val="single"/>
        </w:rPr>
        <w:t>Article Ten</w:t>
      </w:r>
      <w:r>
        <w:rPr>
          <w:rFonts w:ascii="Times New Roman" w:hAnsi="Times New Roman"/>
          <w:sz w:val="20"/>
        </w:rPr>
        <w:t xml:space="preserve"> (as modified by the Eighth Supplemental Indenture) nor prohibited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i/>
          <w:sz w:val="20"/>
        </w:rPr>
        <w:t>Limitation on Liens</w:t>
      </w:r>
      <w:r>
        <w:rPr>
          <w:rFonts w:ascii="Times New Roman" w:hAnsi="Times New Roman"/>
          <w:b/>
          <w:sz w:val="20"/>
        </w:rPr>
        <w:t>.</w:t>
      </w:r>
      <w:r>
        <w:rPr>
          <w:rFonts w:ascii="Times New Roman" w:hAnsi="Times New Roman"/>
          <w:sz w:val="20"/>
        </w:rPr>
        <w:t xml:space="preserve"> The following provisions shall apply with respect to the Notes (notwithstanding </w:t>
      </w:r>
      <w:r>
        <w:rPr>
          <w:rFonts w:ascii="Times New Roman" w:hAnsi="Times New Roman"/>
          <w:sz w:val="20"/>
          <w:u w:val="single"/>
        </w:rPr>
        <w:t>Section 12.07</w:t>
      </w:r>
      <w:r>
        <w:rPr>
          <w:rFonts w:ascii="Times New Roman" w:hAnsi="Times New Roman"/>
          <w:sz w:val="20"/>
        </w:rPr>
        <w:t xml:space="preserve"> of the Base Indenture, which with respect to the Notes shall be deemed amended and restated, and superseded, in its entirety by the following): </w:t>
      </w:r>
    </w:p>
    <w:p>
      <w:pPr>
        <w:pStyle w:val="TextBody"/>
        <w:bidi w:val="0"/>
        <w:spacing w:before="120" w:after="0"/>
        <w:jc w:val="left"/>
        <w:rPr/>
      </w:pPr>
      <w:r>
        <w:rPr/>
        <w:t>“</w:t>
      </w:r>
      <w:r>
        <w:rPr>
          <w:rFonts w:ascii="Times New Roman" w:hAnsi="Times New Roman"/>
          <w:sz w:val="20"/>
        </w:rPr>
        <w:t xml:space="preserve">Section 12.07. </w:t>
      </w:r>
      <w:r>
        <w:rPr>
          <w:rFonts w:ascii="Times New Roman" w:hAnsi="Times New Roman"/>
          <w:sz w:val="20"/>
          <w:u w:val="single"/>
        </w:rPr>
        <w:t>Limitation on Liens</w:t>
      </w:r>
      <w:r>
        <w:rPr>
          <w:rFonts w:ascii="Times New Roman" w:hAnsi="Times New Roman"/>
          <w:sz w:val="20"/>
        </w:rPr>
        <w:t>. The Company will not create or assume, and will not permit a Restricted Subsidiary to create or assume, otherwise than in favor of the Company or a Subsidiary, any indebtedness for borrowed money (“</w:t>
      </w:r>
      <w:r>
        <w:rPr>
          <w:rFonts w:ascii="Times New Roman" w:hAnsi="Times New Roman"/>
          <w:b/>
          <w:sz w:val="20"/>
        </w:rPr>
        <w:t>Debt</w:t>
      </w:r>
      <w:r>
        <w:rPr>
          <w:rFonts w:ascii="Times New Roman" w:hAnsi="Times New Roman"/>
          <w:sz w:val="20"/>
        </w:rPr>
        <w:t xml:space="preserve">”) secured by a Mortgage upon any Principal Property or upon any shares of capital stock or Debt issued by any Subsidiary and owned by the Company or any Restricted Subsidiary, whether now owned or hereafter acquired, without making effective provision whereby the Notes will be secured equally and ratably with, or at the Company’s option, senior to, such Debt, so long as such Debt is so secured; </w:t>
      </w:r>
      <w:r>
        <w:rPr>
          <w:rFonts w:ascii="Times New Roman" w:hAnsi="Times New Roman"/>
          <w:i/>
          <w:sz w:val="20"/>
        </w:rPr>
        <w:t>provided</w:t>
      </w:r>
      <w:r>
        <w:rPr>
          <w:rFonts w:ascii="Times New Roman" w:hAnsi="Times New Roman"/>
          <w:sz w:val="20"/>
        </w:rPr>
        <w:t xml:space="preserve">, that the foregoing covenant will not be applicable to Debt secured by the following, and the Debt so secured will be excluded from any computation under the next succeeding paragraph below: </w:t>
      </w:r>
    </w:p>
    <w:p>
      <w:pPr>
        <w:pStyle w:val="TextBody"/>
        <w:bidi w:val="0"/>
        <w:spacing w:before="120" w:after="0"/>
        <w:jc w:val="left"/>
        <w:rPr>
          <w:rFonts w:ascii="Times New Roman" w:hAnsi="Times New Roman"/>
          <w:sz w:val="20"/>
        </w:rPr>
      </w:pPr>
      <w:r>
        <w:rPr>
          <w:rFonts w:ascii="Times New Roman" w:hAnsi="Times New Roman"/>
          <w:sz w:val="20"/>
        </w:rPr>
        <w:t xml:space="preserve">(a) Mortgages on property of the Company or a Restricted Subsidiary existing on the date of the Eighth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(b) Mortgages on property of a Corporation or other entity existing at the time such Corporation or other entity is merged into or consolidated with the Company or a Restricted Subsidiary or at the time of a sale, lease or other disposition of the properties of such Corporation or other entity (or a division of such Corporation or other entity) as an entirety or substantially as an entirety to the Company or a Restricted Subsidiary; </w:t>
      </w:r>
      <w:r>
        <w:rPr>
          <w:rFonts w:ascii="Times New Roman" w:hAnsi="Times New Roman"/>
          <w:i/>
          <w:sz w:val="20"/>
        </w:rPr>
        <w:t>provided</w:t>
      </w:r>
      <w:r>
        <w:rPr>
          <w:rFonts w:ascii="Times New Roman" w:hAnsi="Times New Roman"/>
          <w:sz w:val="20"/>
        </w:rPr>
        <w:t xml:space="preserve"> that any such Mortgage does not extend to any property owned by the Company or any Restricted Subsidiary immediately prior to such merger, consolidation, sale, lease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(c) Mortgages to secure or provide for the payment of any part of the cost of acquisition, construction, development or purchase or improvement of any such property now owned or hereafter acquired or constructed by the Company or a Restricted Subsidiary, or on which property so acquired, constructed, developed, purchased or improved is located, and created prior to, contemporaneously with or within 270 days after the later of, such improvement, acquisition, construction, development or purchase or the commencement of commercial operation of such property; </w:t>
      </w:r>
    </w:p>
    <w:p>
      <w:pPr>
        <w:pStyle w:val="TextBody"/>
        <w:bidi w:val="0"/>
        <w:spacing w:before="120" w:after="0"/>
        <w:jc w:val="left"/>
        <w:rPr>
          <w:rFonts w:ascii="Times New Roman" w:hAnsi="Times New Roman"/>
          <w:sz w:val="20"/>
        </w:rPr>
      </w:pPr>
      <w:r>
        <w:rPr>
          <w:rFonts w:ascii="Times New Roman" w:hAnsi="Times New Roman"/>
          <w:sz w:val="20"/>
        </w:rPr>
        <w:t xml:space="preserve">(d) Mortgages on any such property existing at the time of acquisition thereof, whether or not assumed by the Company or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Mortgages on any such property of a Person at the time such Person becomes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Mortgages created for the sole purpose of extending, renewing or refunding any Mortgage permitted by any of clauses (a)-(e) of this </w:t>
      </w:r>
      <w:r>
        <w:rPr>
          <w:rFonts w:ascii="Times New Roman" w:hAnsi="Times New Roman"/>
          <w:sz w:val="20"/>
          <w:u w:val="single"/>
        </w:rPr>
        <w:t>Section 12.07</w:t>
      </w:r>
      <w:r>
        <w:rPr>
          <w:rFonts w:ascii="Times New Roman" w:hAnsi="Times New Roman"/>
          <w:sz w:val="20"/>
        </w:rPr>
        <w:t xml:space="preserve"> (as modified by the Eighth Supplemental Indenture); </w:t>
      </w:r>
      <w:r>
        <w:rPr>
          <w:rFonts w:ascii="Times New Roman" w:hAnsi="Times New Roman"/>
          <w:i/>
          <w:sz w:val="20"/>
        </w:rPr>
        <w:t>provided</w:t>
      </w:r>
      <w:r>
        <w:rPr>
          <w:rFonts w:ascii="Times New Roman" w:hAnsi="Times New Roman"/>
          <w:sz w:val="20"/>
        </w:rPr>
        <w:t xml:space="preserve">, that the principal amount of Debt secured thereby will not exceed the principal amount of Debt so secured at the time of such extension, renewal or refunding (plus any premium or fee payable in connection therewith) and that such extension, renewal or refunding Mortgage will be limited to all or any part of the same property (plus improvements on such property, and plus any other property not then constituting Principal Property) that secured the Mortgage extended, renewed or refunded, or to other property of the Company or its Restricted Subsidiaries not subject to the limitations of this </w:t>
      </w:r>
      <w:r>
        <w:rPr>
          <w:rFonts w:ascii="Times New Roman" w:hAnsi="Times New Roman"/>
          <w:sz w:val="20"/>
          <w:u w:val="single"/>
        </w:rPr>
        <w:t>Section 12.07</w:t>
      </w:r>
      <w:r>
        <w:rPr>
          <w:rFonts w:ascii="Times New Roman" w:hAnsi="Times New Roman"/>
          <w:sz w:val="20"/>
        </w:rPr>
        <w:t xml:space="preserve"> (as modified by the Eighth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(g) Mortgages for taxes or assessments or governmental charges or levies not then due and delinquent or the validity of which is being contested in good faith, and against which an adequate reserve has been established; Mortgages on any such property created in connection with pledges or deposits to secure public or statutory obligations or to secure performance in connection with bids or contracts; materialmen’s, mechanic’s, carrier’s, workmen’s, repairmen’s or other like Mortgages, or Mortgages on any such property created in connection with deposits to obtain the release of such Mortgages; Mortgages on any such property created in connection with deposits to secure surety, stay, appeal or customs bonds; Mortgages created by or resulting from any litigation or legal proceeding which is being contested in good faith by appropriate proceedings; leases and liens, rights of reverter and other possessory rights of the lessor thereunder; zoning restrictions, easements, rights-of-way or other restrictions on the use of real property or minor irregularities in the title thereto; and any other Mortgages similar to those described in this clause (g), the existence of which does not, in the opinion of the Company, materially impair the use by the Company or a Restricted Subsidiary of the affected property in the operation of the business of the Company or a Restricted Subsidiary, or the value of such property for the purposes of such business; </w:t>
      </w:r>
    </w:p>
    <w:p>
      <w:pPr>
        <w:pStyle w:val="TextBody"/>
        <w:bidi w:val="0"/>
        <w:spacing w:before="120" w:after="0"/>
        <w:jc w:val="left"/>
        <w:rPr>
          <w:rFonts w:ascii="Times New Roman" w:hAnsi="Times New Roman"/>
          <w:sz w:val="20"/>
        </w:rPr>
      </w:pPr>
      <w:r>
        <w:rPr>
          <w:rFonts w:ascii="Times New Roman" w:hAnsi="Times New Roman"/>
          <w:sz w:val="20"/>
        </w:rPr>
        <w:t xml:space="preserve">(h) Mortgages on any contracts for production, research or development with or for the Government, directly or indirectly, providing for advance, partial or progress payments on such contracts and for a Mortgage, paramount to all other Mortgages, upon money advanced or paid pursuant to such contracts, or upon any material or supplies in connection with the performance of such contracts to secure such payments to the Government; and Mortgages or other evidences of interest in favor of the Government, paramount to all other Mortgages, on any equipment, tools, machinery, land or buildings hereafter constructed, installed or purchased by the Company or a Restricted Subsidiary primarily for the purpose of manufacturing or producing any product or performing any development work, directly or indirectly, for the Government to secure indebtedness incurred and owing to the Government for the construction, installation or purchase of such equipment, tools, machinery, land or buildings; and </w:t>
      </w:r>
    </w:p>
    <w:p>
      <w:pPr>
        <w:pStyle w:val="TextBody"/>
        <w:bidi w:val="0"/>
        <w:spacing w:before="120" w:after="0"/>
        <w:jc w:val="left"/>
        <w:rPr>
          <w:rFonts w:ascii="Times New Roman" w:hAnsi="Times New Roman"/>
          <w:sz w:val="20"/>
        </w:rPr>
      </w:pPr>
      <w:r>
        <w:rPr>
          <w:rFonts w:ascii="Times New Roman" w:hAnsi="Times New Roman"/>
          <w:sz w:val="20"/>
        </w:rPr>
        <w:t xml:space="preserve">(i) Mortgages created after the date of the Eighth Supplemental Indenture on any property leased to or purchased by the Company or a Restricted Subsidiary after such date and securing, directly or indirectly, obligations issued by a state, a territory or a possession of the United States, or any instrumentality or political subdivision of any of the foregoing, or the District of Columbia, to finance the cost of acquisition or cost of construction of such property, </w:t>
      </w:r>
      <w:r>
        <w:rPr>
          <w:rFonts w:ascii="Times New Roman" w:hAnsi="Times New Roman"/>
          <w:i/>
          <w:sz w:val="20"/>
        </w:rPr>
        <w:t>provided</w:t>
      </w:r>
      <w:r>
        <w:rPr>
          <w:rFonts w:ascii="Times New Roman" w:hAnsi="Times New Roman"/>
          <w:sz w:val="20"/>
        </w:rPr>
        <w:t xml:space="preserve">, that the interest paid on such obligations is entitled to be excluded from gross income of the recipient pursuant to Section 103(a) of the Internal Revenue Code of 1986, as amended (or any successor or similar provision), as in effect at the time of the issuance of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restrictions described above, the Company and its Restricted Subsidiaries may create or assume Debt secured by Mortgages without equally and ratably securing the Notes if, at the time of such creation or assumption, after giving effect thereto and to the retirement of any Debt which is concurrently being retired, the aggregate amount of all such Debt secured by Mortgages (other than any Debt secured in compliance with the first paragraph of this </w:t>
      </w:r>
      <w:r>
        <w:rPr>
          <w:rFonts w:ascii="Times New Roman" w:hAnsi="Times New Roman"/>
          <w:sz w:val="20"/>
          <w:u w:val="single"/>
        </w:rPr>
        <w:t>Section 12.07</w:t>
      </w:r>
      <w:r>
        <w:rPr>
          <w:rFonts w:ascii="Times New Roman" w:hAnsi="Times New Roman"/>
          <w:sz w:val="20"/>
        </w:rPr>
        <w:t xml:space="preserve"> (as modified by the Eighth Supplemental Indenture) (including any Debt secured by Mortgages permitted as described in clauses (a) through (i) thereof)) that would otherwise be subject to these restrictions, together with all Attributable Debt with respect to Sale and Leaseback Transactions (permitted under clause </w:t>
      </w:r>
      <w:r>
        <w:rPr>
          <w:rFonts w:ascii="Times New Roman" w:hAnsi="Times New Roman"/>
          <w:sz w:val="20"/>
          <w:u w:val="single"/>
        </w:rPr>
        <w:t>(c)</w:t>
      </w:r>
      <w:r>
        <w:rPr>
          <w:rFonts w:ascii="Times New Roman" w:hAnsi="Times New Roman"/>
          <w:sz w:val="20"/>
        </w:rPr>
        <w:t xml:space="preserve"> of, but not otherwise permitted by, </w:t>
      </w:r>
      <w:r>
        <w:rPr>
          <w:rFonts w:ascii="Times New Roman" w:hAnsi="Times New Roman"/>
          <w:sz w:val="20"/>
          <w:u w:val="single"/>
        </w:rPr>
        <w:t>Section 12.08</w:t>
      </w:r>
      <w:r>
        <w:rPr>
          <w:rFonts w:ascii="Times New Roman" w:hAnsi="Times New Roman"/>
          <w:sz w:val="20"/>
        </w:rPr>
        <w:t xml:space="preserve"> (as modified by the Eighth Supplemental Indenture)) does not exceed the greater of (x) $65,000,000 and (y) 15% of the Company’s Consolidated Net Tangible Assets. The Company and its Restricted Subsidiaries may also, without equally and ratably securing the Notes, create or assume Debt secured by Mortgages that renew, substitute or replace (including successive renewals, substitutions or replacements), in whole or in part, any Debt secured by Mortgages permitted pursuant to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b/>
          <w:i/>
          <w:sz w:val="20"/>
        </w:rPr>
        <w:t>Limitation on Sale and Leaseback Transactions</w:t>
      </w:r>
      <w:r>
        <w:rPr>
          <w:rFonts w:ascii="Times New Roman" w:hAnsi="Times New Roman"/>
          <w:b/>
          <w:sz w:val="20"/>
        </w:rPr>
        <w:t xml:space="preserve">. </w:t>
      </w:r>
      <w:r>
        <w:rPr>
          <w:rFonts w:ascii="Times New Roman" w:hAnsi="Times New Roman"/>
          <w:sz w:val="20"/>
        </w:rPr>
        <w:t xml:space="preserve">The following provisions shall apply with respect to the Notes (notwithstanding </w:t>
      </w:r>
      <w:r>
        <w:rPr>
          <w:rFonts w:ascii="Times New Roman" w:hAnsi="Times New Roman"/>
          <w:sz w:val="20"/>
          <w:u w:val="single"/>
        </w:rPr>
        <w:t>Section 12.08</w:t>
      </w:r>
      <w:r>
        <w:rPr>
          <w:rFonts w:ascii="Times New Roman" w:hAnsi="Times New Roman"/>
          <w:sz w:val="20"/>
        </w:rPr>
        <w:t xml:space="preserve"> of the Base Indenture, which with respect to the Notes shall be deemed amended and restated, and superseded, in its entirety by the following): </w:t>
      </w:r>
    </w:p>
    <w:p>
      <w:pPr>
        <w:pStyle w:val="TextBody"/>
        <w:bidi w:val="0"/>
        <w:spacing w:before="120" w:after="0"/>
        <w:jc w:val="left"/>
        <w:rPr/>
      </w:pPr>
      <w:r>
        <w:rPr/>
        <w:t>“</w:t>
      </w:r>
      <w:r>
        <w:rPr>
          <w:rFonts w:ascii="Times New Roman" w:hAnsi="Times New Roman"/>
          <w:sz w:val="20"/>
        </w:rPr>
        <w:t xml:space="preserve">Section 12.08. </w:t>
      </w:r>
      <w:r>
        <w:rPr>
          <w:rFonts w:ascii="Times New Roman" w:hAnsi="Times New Roman"/>
          <w:sz w:val="20"/>
          <w:u w:val="single"/>
        </w:rPr>
        <w:t>Limitation on Sale and Leaseback Transactions</w:t>
      </w:r>
      <w:r>
        <w:rPr>
          <w:rFonts w:ascii="Times New Roman" w:hAnsi="Times New Roman"/>
          <w:sz w:val="20"/>
        </w:rPr>
        <w:t xml:space="preserve">. The Company will not, and will not permit a Restricted Subsidiary to, enter into any Sale and Leaseback Transaction with respect to any Principal Property owned by the Company or such Restricted Subsidiary on the date of the Eighth Supplemental Indenture, unless: </w:t>
      </w:r>
    </w:p>
    <w:p>
      <w:pPr>
        <w:pStyle w:val="TextBody"/>
        <w:bidi w:val="0"/>
        <w:spacing w:before="120" w:after="0"/>
        <w:jc w:val="left"/>
        <w:rPr>
          <w:rFonts w:ascii="Times New Roman" w:hAnsi="Times New Roman"/>
          <w:sz w:val="20"/>
        </w:rPr>
      </w:pPr>
      <w:r>
        <w:rPr>
          <w:rFonts w:ascii="Times New Roman" w:hAnsi="Times New Roman"/>
          <w:sz w:val="20"/>
        </w:rPr>
        <w:t xml:space="preserve">(a) the Sale and Leaseback Transaction involves a lease for a term of not more than three years, </w:t>
      </w:r>
    </w:p>
    <w:p>
      <w:pPr>
        <w:pStyle w:val="TextBody"/>
        <w:bidi w:val="0"/>
        <w:spacing w:before="120" w:after="0"/>
        <w:jc w:val="left"/>
        <w:rPr>
          <w:rFonts w:ascii="Times New Roman" w:hAnsi="Times New Roman"/>
          <w:sz w:val="20"/>
        </w:rPr>
      </w:pPr>
      <w:r>
        <w:rPr>
          <w:rFonts w:ascii="Times New Roman" w:hAnsi="Times New Roman"/>
          <w:sz w:val="20"/>
        </w:rPr>
        <w:t xml:space="preserve">(b) the Sale and Leaseback Transaction is between the Company or such Restricted Subsidiary and the Company or a Subsidiary, </w:t>
      </w:r>
    </w:p>
    <w:p>
      <w:pPr>
        <w:pStyle w:val="TextBody"/>
        <w:bidi w:val="0"/>
        <w:spacing w:before="120" w:after="0"/>
        <w:jc w:val="left"/>
        <w:rPr>
          <w:rFonts w:ascii="Times New Roman" w:hAnsi="Times New Roman"/>
          <w:sz w:val="20"/>
        </w:rPr>
      </w:pPr>
      <w:r>
        <w:rPr>
          <w:rFonts w:ascii="Times New Roman" w:hAnsi="Times New Roman"/>
          <w:sz w:val="20"/>
        </w:rPr>
        <w:t xml:space="preserve">(c) the Company or such Restricted Subsidiary would be entitled, at the effective date of the sale or transfer, to incur Debt secured by a Mortgage on such Principal Property involved in such Sale and Leaseback Transaction at least equal in amount to the Attributable Debt with respect to such Sale and Leaseback Transaction without equally and ratably securing the Notes pursuant to the second paragraph of </w:t>
      </w:r>
      <w:r>
        <w:rPr>
          <w:rFonts w:ascii="Times New Roman" w:hAnsi="Times New Roman"/>
          <w:sz w:val="20"/>
          <w:u w:val="single"/>
        </w:rPr>
        <w:t>Section 12.07</w:t>
      </w:r>
      <w:r>
        <w:rPr>
          <w:rFonts w:ascii="Times New Roman" w:hAnsi="Times New Roman"/>
          <w:sz w:val="20"/>
        </w:rPr>
        <w:t xml:space="preserve"> (as modified by the Eighth Supplemental Indenture),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terms of such Sale and Leaseback Transaction are fair and arm’s-length (as determined in good faith by the Company’s Board of Directors) and the Company or any Restricted Subsidiary applies an amount equal to the greater of (i) the net proceeds of such sale or transfer or (ii) the Attributable Debt with respect to such Sale and Leaseback Transaction within 180 days after the receipt of the proceeds of such sale or transfer to either (or a combination of) (A) the prepayment or retirement (other than the mandatory retirement, mandatory prepayment or sinking fund payment or by payment at maturity) of Funded Debt of the Company or a Restricted Subsidiary (other than Funded Debt that is subordinated to the Notes) or (B) the purchase, construction or development of property, facilities or equipment used or useful in the Company’s or its Restricted Subsidiaries’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b/>
          <w:i/>
          <w:sz w:val="20"/>
        </w:rPr>
        <w:t>Corporate Existence</w:t>
      </w:r>
      <w:r>
        <w:rPr>
          <w:rFonts w:ascii="Times New Roman" w:hAnsi="Times New Roman"/>
          <w:b/>
          <w:sz w:val="20"/>
        </w:rPr>
        <w:t>.</w:t>
      </w:r>
      <w:r>
        <w:rPr>
          <w:rFonts w:ascii="Times New Roman" w:hAnsi="Times New Roman"/>
          <w:sz w:val="20"/>
        </w:rPr>
        <w:t xml:space="preserve"> The following provision shall apply with respect to the Notes (notwithstanding </w:t>
      </w:r>
      <w:r>
        <w:rPr>
          <w:rFonts w:ascii="Times New Roman" w:hAnsi="Times New Roman"/>
          <w:sz w:val="20"/>
          <w:u w:val="single"/>
        </w:rPr>
        <w:t>Section 12.05</w:t>
      </w:r>
      <w:r>
        <w:rPr>
          <w:rFonts w:ascii="Times New Roman" w:hAnsi="Times New Roman"/>
          <w:sz w:val="20"/>
        </w:rPr>
        <w:t xml:space="preserve"> of the Base Indenture, which with respect to the Notes shall be deemed amended and restated, and superseded, in its entirety by the following): </w:t>
      </w:r>
    </w:p>
    <w:p>
      <w:pPr>
        <w:pStyle w:val="TextBody"/>
        <w:bidi w:val="0"/>
        <w:spacing w:before="120" w:after="0"/>
        <w:jc w:val="left"/>
        <w:rPr/>
      </w:pPr>
      <w:r>
        <w:rPr/>
        <w:t>“</w:t>
      </w:r>
      <w:r>
        <w:rPr>
          <w:rFonts w:ascii="Times New Roman" w:hAnsi="Times New Roman"/>
          <w:sz w:val="20"/>
        </w:rPr>
        <w:t xml:space="preserve">Section 12.05. </w:t>
      </w:r>
      <w:r>
        <w:rPr>
          <w:rFonts w:ascii="Times New Roman" w:hAnsi="Times New Roman"/>
          <w:sz w:val="20"/>
          <w:u w:val="single"/>
        </w:rPr>
        <w:t>Corporate Existence</w:t>
      </w:r>
      <w:r>
        <w:rPr>
          <w:rFonts w:ascii="Times New Roman" w:hAnsi="Times New Roman"/>
          <w:sz w:val="20"/>
        </w:rPr>
        <w:t xml:space="preserve">. Subject to </w:t>
      </w:r>
      <w:r>
        <w:rPr>
          <w:rFonts w:ascii="Times New Roman" w:hAnsi="Times New Roman"/>
          <w:sz w:val="20"/>
          <w:u w:val="single"/>
        </w:rPr>
        <w:t>Article Ten</w:t>
      </w:r>
      <w:r>
        <w:rPr>
          <w:rFonts w:ascii="Times New Roman" w:hAnsi="Times New Roman"/>
          <w:sz w:val="20"/>
        </w:rPr>
        <w:t xml:space="preserve"> (as modified by the Eighth Supplemental Indenture), the Company will do or cause to be done all things necessary to preserve and keep in full force and effect its corporate existence, rights (charter and statutory) and franchises;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preserve any such right or franchise if the Board of Directors of the Company shall determine that the preservation thereof is no longer desirable in the conduct of the business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i/>
          <w:sz w:val="20"/>
        </w:rPr>
        <w:t>Events of Default</w:t>
      </w:r>
      <w:r>
        <w:rPr>
          <w:rFonts w:ascii="Times New Roman" w:hAnsi="Times New Roman"/>
          <w:b/>
          <w:sz w:val="20"/>
        </w:rPr>
        <w:t>.</w:t>
      </w:r>
      <w:r>
        <w:rPr>
          <w:rFonts w:ascii="Times New Roman" w:hAnsi="Times New Roman"/>
          <w:sz w:val="20"/>
        </w:rPr>
        <w:t xml:space="preserve"> The following “Events of Default” shall apply with respect to the Notes (notwithstanding </w:t>
      </w:r>
      <w:r>
        <w:rPr>
          <w:rFonts w:ascii="Times New Roman" w:hAnsi="Times New Roman"/>
          <w:sz w:val="20"/>
          <w:u w:val="single"/>
        </w:rPr>
        <w:t>Section 5.01</w:t>
      </w:r>
      <w:r>
        <w:rPr>
          <w:rFonts w:ascii="Times New Roman" w:hAnsi="Times New Roman"/>
          <w:sz w:val="20"/>
        </w:rPr>
        <w:t xml:space="preserve"> of the Base Indenture, which with respect to the Notes shall be deemed amended and restated, and superseded, in its entirety by the following): </w:t>
      </w:r>
    </w:p>
    <w:p>
      <w:pPr>
        <w:pStyle w:val="TextBody"/>
        <w:bidi w:val="0"/>
        <w:spacing w:before="120" w:after="0"/>
        <w:jc w:val="left"/>
        <w:rPr/>
      </w:pPr>
      <w:r>
        <w:rPr/>
        <w:t>“</w:t>
      </w:r>
      <w:r>
        <w:rPr>
          <w:rFonts w:ascii="Times New Roman" w:hAnsi="Times New Roman"/>
          <w:sz w:val="20"/>
        </w:rPr>
        <w:t xml:space="preserve">Section 5.01.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Event of Default</w:t>
      </w:r>
      <w:r>
        <w:rPr>
          <w:rFonts w:ascii="Times New Roman" w:hAnsi="Times New Roman"/>
          <w:sz w:val="20"/>
        </w:rPr>
        <w:t xml:space="preserve">” means, with respect to a series of the Notes,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upon the Notes of such series when it becomes due and payable, and continuance of such default for a period of 30 days; </w:t>
      </w:r>
    </w:p>
    <w:p>
      <w:pPr>
        <w:pStyle w:val="TextBody"/>
        <w:bidi w:val="0"/>
        <w:spacing w:before="120" w:after="0"/>
        <w:jc w:val="left"/>
        <w:rPr>
          <w:rFonts w:ascii="Times New Roman" w:hAnsi="Times New Roman"/>
          <w:sz w:val="20"/>
        </w:rPr>
      </w:pPr>
      <w:r>
        <w:rPr>
          <w:rFonts w:ascii="Times New Roman" w:hAnsi="Times New Roman"/>
          <w:sz w:val="20"/>
        </w:rPr>
        <w:t xml:space="preserve">(2) default in the payment of the principal of (and premium, if any, on) the Notes of such series on the date on which such amount becomes due and payable, whether at the applicable Stated Maturity Date or by declaration of acceleration, call for redemption, repayment at the option of the Holders of the Notes of such series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[Reserved]; </w:t>
      </w:r>
    </w:p>
    <w:p>
      <w:pPr>
        <w:pStyle w:val="TextBody"/>
        <w:bidi w:val="0"/>
        <w:spacing w:before="120" w:after="0"/>
        <w:jc w:val="left"/>
        <w:rPr>
          <w:rFonts w:ascii="Times New Roman" w:hAnsi="Times New Roman"/>
          <w:sz w:val="20"/>
        </w:rPr>
      </w:pPr>
      <w:r>
        <w:rPr>
          <w:rFonts w:ascii="Times New Roman" w:hAnsi="Times New Roman"/>
          <w:sz w:val="20"/>
        </w:rPr>
        <w:t xml:space="preserve">(4) default in the performance, or breach, of any covenant or warranty of the Company in the Indenture (other than any covenant or warranty a default in whose performance or whose breach is dealt with elsewhere in this </w:t>
      </w:r>
      <w:r>
        <w:rPr>
          <w:rFonts w:ascii="Times New Roman" w:hAnsi="Times New Roman"/>
          <w:sz w:val="20"/>
          <w:u w:val="single"/>
        </w:rPr>
        <w:t>Section 5.01</w:t>
      </w:r>
      <w:r>
        <w:rPr>
          <w:rFonts w:ascii="Times New Roman" w:hAnsi="Times New Roman"/>
          <w:sz w:val="20"/>
        </w:rPr>
        <w:t xml:space="preserve"> (as modified by the Eighth Supplemental Indenture) or any covenant or warranty which has been included in the Indenture solely for the benefit of Debt Securities of series other than the applicable series of Notes), and continuance of such default or breach for a period of 90 days after there has been given, by registered or certified mail, to the Company by the Trustee or to the Company and the Trustee by the Holders of at least 25% in principal amount of the Outstanding Notes of the affected series, a written notice specifying such default or breach and requiring it to be remedied and stating that such notice is a “Notice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(5) the entry of a decree or order for relief in respect of the Company by a court having jurisdiction in the premises in an involuntary case under the Federal bankruptcy laws, as now or hereafter constituted, or any other applicable Federal or State bankruptcy, insolvency or other similar law, or a decree or order adjudging the Company bankrupt or insolvent, or approving as properly filed a petition seeking reorganization, arrangement, adjustment or composition of or in respect of the Company under any applicable Federal or State law, or appointing a receiver, liquidator, assignee, custodian, trustee, sequestrator (or other similar official) of the Company or of any substantial part of its property, or ordering the winding up or liquidation of its affairs, and the continuance of any such decree or order unstayed and in effect for a period of 90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(6) the commencement by the Company of a voluntary case under the Federal bankruptcy laws, as now or hereafter constituted, or any other applicable Federal or State bankruptcy, insolvency or other similar law, or the consent by it to the entry of an order for relief in an involuntary case under any such law or to the appointment of a receiver, liquidator, assignee, custodian, trustee, sequestrator (or other similar official) of the Company or of any substantial part of its property, or the making by it of an assignment for the benefit of its creditors, or the admission by it in writing of its inability to pay its debts generally as they become due, or the taking of corporate action by the Company in furtherance of any such action; or </w:t>
      </w:r>
    </w:p>
    <w:p>
      <w:pPr>
        <w:pStyle w:val="TextBody"/>
        <w:bidi w:val="0"/>
        <w:spacing w:before="120" w:after="0"/>
        <w:jc w:val="left"/>
        <w:rPr>
          <w:rFonts w:ascii="Times New Roman" w:hAnsi="Times New Roman"/>
          <w:sz w:val="20"/>
        </w:rPr>
      </w:pPr>
      <w:r>
        <w:rPr>
          <w:rFonts w:ascii="Times New Roman" w:hAnsi="Times New Roman"/>
          <w:sz w:val="20"/>
        </w:rPr>
        <w:t xml:space="preserve">(7)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b/>
          <w:i/>
          <w:sz w:val="20"/>
        </w:rPr>
        <w:t>Defeasance Upon Deposit of Moneys or U.S. Government Obligations.</w:t>
      </w:r>
      <w:r>
        <w:rPr>
          <w:rFonts w:ascii="Times New Roman" w:hAnsi="Times New Roman"/>
          <w:sz w:val="20"/>
        </w:rPr>
        <w:t xml:space="preserve"> The following provisions shall apply with respect to the Notes (notwithstanding </w:t>
      </w:r>
      <w:r>
        <w:rPr>
          <w:rFonts w:ascii="Times New Roman" w:hAnsi="Times New Roman"/>
          <w:sz w:val="20"/>
          <w:u w:val="single"/>
        </w:rPr>
        <w:t>Section 15.02</w:t>
      </w:r>
      <w:r>
        <w:rPr>
          <w:rFonts w:ascii="Times New Roman" w:hAnsi="Times New Roman"/>
          <w:sz w:val="20"/>
        </w:rPr>
        <w:t xml:space="preserve"> of the Base Indenture, which with respect to the Notes shall be deemed amended and restated, and superseded, in its entirety by the following): </w:t>
      </w:r>
    </w:p>
    <w:p>
      <w:pPr>
        <w:pStyle w:val="TextBody"/>
        <w:bidi w:val="0"/>
        <w:spacing w:before="120" w:after="0"/>
        <w:jc w:val="left"/>
        <w:rPr/>
      </w:pPr>
      <w:r>
        <w:rPr/>
        <w:t>“</w:t>
      </w:r>
      <w:r>
        <w:rPr>
          <w:rFonts w:ascii="Times New Roman" w:hAnsi="Times New Roman"/>
          <w:sz w:val="20"/>
        </w:rPr>
        <w:t xml:space="preserve">Section 15.02. </w:t>
      </w:r>
      <w:r>
        <w:rPr>
          <w:rFonts w:ascii="Times New Roman" w:hAnsi="Times New Roman"/>
          <w:sz w:val="20"/>
          <w:u w:val="single"/>
        </w:rPr>
        <w:t>Defeasance Upon Deposit of Moneys or U.S. Government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At the Company’s option, either (a) the Company shall be deemed to have been Discharged from its obligations with respect to the Notes of any series (“</w:t>
      </w:r>
      <w:r>
        <w:rPr>
          <w:rFonts w:ascii="Times New Roman" w:hAnsi="Times New Roman"/>
          <w:b/>
          <w:sz w:val="20"/>
        </w:rPr>
        <w:t>legal defeasance option</w:t>
      </w:r>
      <w:r>
        <w:rPr>
          <w:rFonts w:ascii="Times New Roman" w:hAnsi="Times New Roman"/>
          <w:sz w:val="20"/>
        </w:rPr>
        <w:t xml:space="preserve">”) or (b) the Company shall cease to be under any obligation to comply with any term, provision or condition set forth in </w:t>
      </w:r>
      <w:r>
        <w:rPr>
          <w:rFonts w:ascii="Times New Roman" w:hAnsi="Times New Roman"/>
          <w:sz w:val="20"/>
          <w:u w:val="single"/>
        </w:rPr>
        <w:t>Article Ten</w:t>
      </w:r>
      <w:r>
        <w:rPr>
          <w:rFonts w:ascii="Times New Roman" w:hAnsi="Times New Roman"/>
          <w:sz w:val="20"/>
        </w:rPr>
        <w:t xml:space="preserve">, </w:t>
      </w:r>
      <w:r>
        <w:rPr>
          <w:rFonts w:ascii="Times New Roman" w:hAnsi="Times New Roman"/>
          <w:sz w:val="20"/>
          <w:u w:val="single"/>
        </w:rPr>
        <w:t>Section 12.05</w:t>
      </w:r>
      <w:r>
        <w:rPr>
          <w:rFonts w:ascii="Times New Roman" w:hAnsi="Times New Roman"/>
          <w:sz w:val="20"/>
        </w:rPr>
        <w:t xml:space="preserve">, </w:t>
      </w:r>
      <w:r>
        <w:rPr>
          <w:rFonts w:ascii="Times New Roman" w:hAnsi="Times New Roman"/>
          <w:sz w:val="20"/>
          <w:u w:val="single"/>
        </w:rPr>
        <w:t>Section 12.07</w:t>
      </w:r>
      <w:r>
        <w:rPr>
          <w:rFonts w:ascii="Times New Roman" w:hAnsi="Times New Roman"/>
          <w:sz w:val="20"/>
        </w:rPr>
        <w:t xml:space="preserve"> and </w:t>
      </w:r>
      <w:r>
        <w:rPr>
          <w:rFonts w:ascii="Times New Roman" w:hAnsi="Times New Roman"/>
          <w:sz w:val="20"/>
          <w:u w:val="single"/>
        </w:rPr>
        <w:t>Section 12.08</w:t>
      </w:r>
      <w:r>
        <w:rPr>
          <w:rFonts w:ascii="Times New Roman" w:hAnsi="Times New Roman"/>
          <w:sz w:val="20"/>
        </w:rPr>
        <w:t xml:space="preserve"> (in each case, as modified by the Eighth Supplemental Indenture) and </w:t>
      </w:r>
      <w:r>
        <w:rPr>
          <w:rFonts w:ascii="Times New Roman" w:hAnsi="Times New Roman"/>
          <w:sz w:val="20"/>
          <w:u w:val="single"/>
        </w:rPr>
        <w:t>Section 3.2</w:t>
      </w:r>
      <w:r>
        <w:rPr>
          <w:rFonts w:ascii="Times New Roman" w:hAnsi="Times New Roman"/>
          <w:sz w:val="20"/>
        </w:rPr>
        <w:t xml:space="preserve"> of the Eighth Supplemental Indenture with respect to the Notes of any series (“</w:t>
      </w:r>
      <w:r>
        <w:rPr>
          <w:rFonts w:ascii="Times New Roman" w:hAnsi="Times New Roman"/>
          <w:b/>
          <w:sz w:val="20"/>
        </w:rPr>
        <w:t>covenant defeasance option</w:t>
      </w:r>
      <w:r>
        <w:rPr>
          <w:rFonts w:ascii="Times New Roman" w:hAnsi="Times New Roman"/>
          <w:sz w:val="20"/>
        </w:rPr>
        <w:t xml:space="preserve">”) at any time after the applicable conditions set forth below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have deposited or caused to be deposited irrevocably with the Trustee as trust funds in trust dedicated solely to the benefit of the Holders of the Notes of such series (i) money in an amount, or (ii) U.S. Government Obligations which through the payment of interest and principal in respect thereof in accordance with their terms will provide, not later than one day before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any mandatory sinking fund payments) of and premium, if any, and interest on, the Outstanding Notes of such series on the dates such installments of interest or principal and premium are due; </w:t>
      </w:r>
    </w:p>
    <w:p>
      <w:pPr>
        <w:pStyle w:val="TextBody"/>
        <w:bidi w:val="0"/>
        <w:spacing w:before="120" w:after="0"/>
        <w:jc w:val="left"/>
        <w:rPr>
          <w:rFonts w:ascii="Times New Roman" w:hAnsi="Times New Roman"/>
          <w:sz w:val="20"/>
        </w:rPr>
      </w:pPr>
      <w:r>
        <w:rPr>
          <w:rFonts w:ascii="Times New Roman" w:hAnsi="Times New Roman"/>
          <w:sz w:val="20"/>
        </w:rPr>
        <w:t xml:space="preserve">(2) such deposit shall not cause the Trustee with respect to the Notes of that series to have a conflicting interest for purposes of the Trust Indenture Act with respect to the Notes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(3) such defeasance will not cause the trust resulting from such deposit to constitute, unless it is qualified as, a regulated investment company under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delivers to the Trustee an Officers’ Certificate and an Opinion of Counsel, each stating that all conditions precedent to the defeasance and discharge of the Notes as contemplated by this </w:t>
      </w:r>
      <w:r>
        <w:rPr>
          <w:rFonts w:ascii="Times New Roman" w:hAnsi="Times New Roman"/>
          <w:sz w:val="20"/>
          <w:u w:val="single"/>
        </w:rPr>
        <w:t>Article Fifteen</w:t>
      </w:r>
      <w:r>
        <w:rPr>
          <w:rFonts w:ascii="Times New Roman" w:hAnsi="Times New Roman"/>
          <w:sz w:val="20"/>
        </w:rPr>
        <w:t xml:space="preserve"> (as modified by the Eighth Supplemental Indenture)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(5) such deposit will not result in a breach or violation of, or constitute a default under, the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(6) no Event of Default or event (including such deposit) which, with notice or lapse of time or both, would become an Event of Default with respect to the Notes of such series shall have occurred and be continuing on the date of such deposit and, with respect to the legal defeasance option only, no Event of Default under </w:t>
      </w:r>
      <w:r>
        <w:rPr>
          <w:rFonts w:ascii="Times New Roman" w:hAnsi="Times New Roman"/>
          <w:sz w:val="20"/>
          <w:u w:val="single"/>
        </w:rPr>
        <w:t>Section 5.01(5)</w:t>
      </w:r>
      <w:r>
        <w:rPr>
          <w:rFonts w:ascii="Times New Roman" w:hAnsi="Times New Roman"/>
          <w:sz w:val="20"/>
        </w:rPr>
        <w:t xml:space="preserve"> or </w:t>
      </w:r>
      <w:r>
        <w:rPr>
          <w:rFonts w:ascii="Times New Roman" w:hAnsi="Times New Roman"/>
          <w:sz w:val="20"/>
          <w:u w:val="single"/>
        </w:rPr>
        <w:t>Section 5.01(6)</w:t>
      </w:r>
      <w:r>
        <w:rPr>
          <w:rFonts w:ascii="Times New Roman" w:hAnsi="Times New Roman"/>
          <w:sz w:val="20"/>
        </w:rPr>
        <w:t xml:space="preserve"> (in each case, as modified by the Eighth Supplemental Indenture) or event which with the giving of notice or lapse of time, or both, would become an Event of Default under </w:t>
      </w:r>
      <w:r>
        <w:rPr>
          <w:rFonts w:ascii="Times New Roman" w:hAnsi="Times New Roman"/>
          <w:sz w:val="20"/>
          <w:u w:val="single"/>
        </w:rPr>
        <w:t>Section 5.01(5)</w:t>
      </w:r>
      <w:r>
        <w:rPr>
          <w:rFonts w:ascii="Times New Roman" w:hAnsi="Times New Roman"/>
          <w:sz w:val="20"/>
        </w:rPr>
        <w:t xml:space="preserve"> or </w:t>
      </w:r>
      <w:r>
        <w:rPr>
          <w:rFonts w:ascii="Times New Roman" w:hAnsi="Times New Roman"/>
          <w:sz w:val="20"/>
          <w:u w:val="single"/>
        </w:rPr>
        <w:t>Section 5.01(6)</w:t>
      </w:r>
      <w:r>
        <w:rPr>
          <w:rFonts w:ascii="Times New Roman" w:hAnsi="Times New Roman"/>
          <w:sz w:val="20"/>
        </w:rPr>
        <w:t xml:space="preserve"> (in each case, as modified by the Eighth Supplemental Indenture) shall have occurred and be continuing on the 91st day after such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Company shall have delivered to the Trustee an Opinion of Counsel to the effect that such defeasance will not cause the beneficial owners of the Notes of such series to recognize income, gain or loss for U.S. federal income tax purposes and such beneficial owners will be subject to U.S. federal income tax on the same amounts, in the same manner and at the same time as if the defeasance had not occurred, which Opinion of Counsel, in the case of the legal defeasance option, must be based on a ruling from the Internal Revenue Service or a change in the applicable U.S. federal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the Company exercises its covenant defeasance option and an Event of Default under </w:t>
      </w:r>
      <w:r>
        <w:rPr>
          <w:rFonts w:ascii="Times New Roman" w:hAnsi="Times New Roman"/>
          <w:sz w:val="20"/>
          <w:u w:val="single"/>
        </w:rPr>
        <w:t>Section 5.01(5)</w:t>
      </w:r>
      <w:r>
        <w:rPr>
          <w:rFonts w:ascii="Times New Roman" w:hAnsi="Times New Roman"/>
          <w:sz w:val="20"/>
        </w:rPr>
        <w:t xml:space="preserve"> or </w:t>
      </w:r>
      <w:r>
        <w:rPr>
          <w:rFonts w:ascii="Times New Roman" w:hAnsi="Times New Roman"/>
          <w:sz w:val="20"/>
          <w:u w:val="single"/>
        </w:rPr>
        <w:t>Section 5.01(6)</w:t>
      </w:r>
      <w:r>
        <w:rPr>
          <w:rFonts w:ascii="Times New Roman" w:hAnsi="Times New Roman"/>
          <w:sz w:val="20"/>
        </w:rPr>
        <w:t xml:space="preserve"> (in each case, as modified by the Eighth Supplemental Indenture) or an event which with the giving of notice or lapse of time, or both, would become an Event of Default under </w:t>
      </w:r>
      <w:r>
        <w:rPr>
          <w:rFonts w:ascii="Times New Roman" w:hAnsi="Times New Roman"/>
          <w:sz w:val="20"/>
          <w:u w:val="single"/>
        </w:rPr>
        <w:t>Section 5.01(5)</w:t>
      </w:r>
      <w:r>
        <w:rPr>
          <w:rFonts w:ascii="Times New Roman" w:hAnsi="Times New Roman"/>
          <w:sz w:val="20"/>
        </w:rPr>
        <w:t xml:space="preserve"> or </w:t>
      </w:r>
      <w:r>
        <w:rPr>
          <w:rFonts w:ascii="Times New Roman" w:hAnsi="Times New Roman"/>
          <w:sz w:val="20"/>
          <w:u w:val="single"/>
        </w:rPr>
        <w:t>Section 5.01(6)</w:t>
      </w:r>
      <w:r>
        <w:rPr>
          <w:rFonts w:ascii="Times New Roman" w:hAnsi="Times New Roman"/>
          <w:sz w:val="20"/>
        </w:rPr>
        <w:t xml:space="preserve"> (in each case, as modified by the Eighth Supplemental Indenture) shall have occurred and be continuing on the 91st day after the date of such deposit, the obligations of the Company referred to under the definition of covenant defeasance option with respect to such Notes shall be reinstated in full.”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b/>
          <w:i/>
          <w:sz w:val="20"/>
        </w:rPr>
        <w:t>Satisfaction and Discharge of Indenture.</w:t>
      </w:r>
      <w:r>
        <w:rPr>
          <w:rFonts w:ascii="Times New Roman" w:hAnsi="Times New Roman"/>
          <w:sz w:val="20"/>
        </w:rPr>
        <w:t xml:space="preserve"> The following provisions shall apply with respect to the Notes (notwithstanding the first paragraph of </w:t>
      </w:r>
      <w:r>
        <w:rPr>
          <w:rFonts w:ascii="Times New Roman" w:hAnsi="Times New Roman"/>
          <w:sz w:val="20"/>
          <w:u w:val="single"/>
        </w:rPr>
        <w:t>Section 4.01</w:t>
      </w:r>
      <w:r>
        <w:rPr>
          <w:rFonts w:ascii="Times New Roman" w:hAnsi="Times New Roman"/>
          <w:sz w:val="20"/>
        </w:rPr>
        <w:t xml:space="preserve"> of the Base Indenture, including clauses (1)-(4) thereof, which paragraph shall, with respect to the Notes be deemed amended and restated, and superseded, in its entirety by the following (it being understood that clause (4) of such paragraph shall not apply to the Notes)): </w:t>
      </w:r>
    </w:p>
    <w:p>
      <w:pPr>
        <w:pStyle w:val="TextBody"/>
        <w:bidi w:val="0"/>
        <w:spacing w:before="120" w:after="0"/>
        <w:jc w:val="left"/>
        <w:rPr/>
      </w:pPr>
      <w:r>
        <w:rPr/>
        <w:t>“</w:t>
      </w:r>
      <w:r>
        <w:rPr>
          <w:rFonts w:ascii="Times New Roman" w:hAnsi="Times New Roman"/>
          <w:sz w:val="20"/>
        </w:rPr>
        <w:t xml:space="preserve">Section 4.01.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with respect to the Notes of any series (if all series of the Notes are not to be affected), shall upon Company Request, cease to be of further effect (except as to any surviving rights of registration of transfer or exchange of such Notes expressly provided for in the Indenture and the right to receive payments of principal (and premium, if any) and interest on such Notes) and the Trustee, at the expense of the Company, shall execute proper instruments acknowledging satisfaction and discharge of the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all Notes of such series theretofore authenticated and delivered (other than (i) Notes of such series which have been destroyed, lost or stolen and which have been replaced or paid as provided in </w:t>
      </w:r>
      <w:r>
        <w:rPr>
          <w:rFonts w:ascii="Times New Roman" w:hAnsi="Times New Roman"/>
          <w:sz w:val="20"/>
          <w:u w:val="single"/>
        </w:rPr>
        <w:t>Section 3.06</w:t>
      </w:r>
      <w:r>
        <w:rPr>
          <w:rFonts w:ascii="Times New Roman" w:hAnsi="Times New Roman"/>
          <w:sz w:val="20"/>
        </w:rPr>
        <w:t xml:space="preserve"> and (ii) Notes of such series for whose payment money has theretofore been deposited in trust or segregated and held in trust by the Company and thereafter repaid to the Company or discharged from such trust, as provided in </w:t>
      </w:r>
      <w:r>
        <w:rPr>
          <w:rFonts w:ascii="Times New Roman" w:hAnsi="Times New Roman"/>
          <w:sz w:val="20"/>
          <w:u w:val="single"/>
        </w:rPr>
        <w:t>Section 12.04</w:t>
      </w:r>
      <w:r>
        <w:rPr>
          <w:rFonts w:ascii="Times New Roman" w:hAnsi="Times New Roman"/>
          <w:sz w:val="20"/>
        </w:rPr>
        <w:t xml:space="preserve">) have been delivered to the Trustee for cancellation;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Notes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(ii) will become due and payable at their Stated Maturity Date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(iii) if redeemable at the option of the Company, are to be called for redemption within one year under arrangements satisfactory to the Trustee for the giving of notice by the Trustee in the name, and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Company, in the case of (i), (ii) or (iii) of this subclause (B), has irrevocably deposited or caused to be deposited with the Trustee as trust funds in trust for such purpose an amount in the currency in which such Notes are denominated sufficient to pay and discharge the entire indebtedness on such Notes for principal (and premium, if any) and interest to the date of such deposit (in the case of Notes which have become due and payable) or to the applicable Stated Maturity Date or Redemption Date, as the case may be;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the Indenture with respect to such Notes shall not be deemed terminated or discharged; </w:t>
      </w:r>
    </w:p>
    <w:p>
      <w:pPr>
        <w:pStyle w:val="TextBody"/>
        <w:bidi w:val="0"/>
        <w:spacing w:before="120" w:after="0"/>
        <w:jc w:val="left"/>
        <w:rPr>
          <w:rFonts w:ascii="Times New Roman" w:hAnsi="Times New Roman"/>
          <w:sz w:val="20"/>
        </w:rPr>
      </w:pPr>
      <w:r>
        <w:rPr>
          <w:rFonts w:ascii="Times New Roman" w:hAnsi="Times New Roman"/>
          <w:sz w:val="20"/>
        </w:rPr>
        <w:t xml:space="preserve">(2) the Company has paid or caused to be paid all other sums payable under the Indenture in respect of such Notes;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to the Trustee an Officers’ Certificate and an Opinion of Counsel each stating that all conditions precedent under the Indenture relating to the satisfaction and discharge of the Indenture with respect to the Notes of such series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b/>
          <w:i/>
          <w:sz w:val="20"/>
        </w:rPr>
        <w:t>Satisfaction and Discharge Requiring Payment of Applicable Premium.</w:t>
      </w:r>
      <w:r>
        <w:rPr>
          <w:rFonts w:ascii="Times New Roman" w:hAnsi="Times New Roman"/>
          <w:sz w:val="20"/>
        </w:rPr>
        <w:t xml:space="preserve"> The following provision shall apply with respect to the Notes and shall be inserted as a new </w:t>
      </w:r>
      <w:r>
        <w:rPr>
          <w:rFonts w:ascii="Times New Roman" w:hAnsi="Times New Roman"/>
          <w:sz w:val="20"/>
          <w:u w:val="single"/>
        </w:rPr>
        <w:t>Section 4.03</w:t>
      </w:r>
      <w:r>
        <w:rPr>
          <w:rFonts w:ascii="Times New Roman" w:hAnsi="Times New Roman"/>
          <w:sz w:val="20"/>
        </w:rPr>
        <w:t xml:space="preserve"> of the Base Indenture solely with respect to the Notes: </w:t>
      </w:r>
    </w:p>
    <w:p>
      <w:pPr>
        <w:pStyle w:val="TextBody"/>
        <w:bidi w:val="0"/>
        <w:spacing w:before="120" w:after="0"/>
        <w:jc w:val="left"/>
        <w:rPr/>
      </w:pPr>
      <w:r>
        <w:rPr/>
        <w:t>“</w:t>
      </w:r>
      <w:r>
        <w:rPr>
          <w:rFonts w:ascii="Times New Roman" w:hAnsi="Times New Roman"/>
          <w:sz w:val="20"/>
        </w:rPr>
        <w:t xml:space="preserve">Section 4.03. </w:t>
      </w:r>
      <w:r>
        <w:rPr>
          <w:rFonts w:ascii="Times New Roman" w:hAnsi="Times New Roman"/>
          <w:sz w:val="20"/>
          <w:u w:val="single"/>
        </w:rPr>
        <w:t>Satisfaction and Discharge Requiring Payment of Applicable Premium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w:t>
      </w:r>
      <w:r>
        <w:rPr>
          <w:rFonts w:ascii="Times New Roman" w:hAnsi="Times New Roman"/>
          <w:sz w:val="20"/>
          <w:u w:val="single"/>
        </w:rPr>
        <w:t>Section 4.01</w:t>
      </w:r>
      <w:r>
        <w:rPr>
          <w:rFonts w:ascii="Times New Roman" w:hAnsi="Times New Roman"/>
          <w:sz w:val="20"/>
        </w:rPr>
        <w:t xml:space="preserve"> (as modified by the Eighth Supplemental Indenture), in connection with any discharge relating to any redemption of any series of Notes that requires the payment of the Applicable Premium, the amount deposited shall be sufficient for purposes of the Indenture to the extent that an amount is deposited with the Trustee equal to the Applicable Premium with respect to such series of Notes calculated as of the date of the notice of redemption (and calculated as though the Redemption Date were the date of such notice of redemption), with any deficit as of the Redemption Date only required to be deposited with the Trustee on or prior to the Redemption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i/>
          <w:sz w:val="20"/>
        </w:rPr>
        <w:t>Additional Notes.</w:t>
      </w:r>
      <w:r>
        <w:rPr>
          <w:rFonts w:ascii="Times New Roman" w:hAnsi="Times New Roman"/>
          <w:sz w:val="20"/>
        </w:rPr>
        <w:t xml:space="preserve"> The Company may, from time to time, without notice to or consent of the Holders of the Notes, create and issue additional Notes (the “</w:t>
      </w:r>
      <w:r>
        <w:rPr>
          <w:rFonts w:ascii="Times New Roman" w:hAnsi="Times New Roman"/>
          <w:b/>
          <w:sz w:val="20"/>
        </w:rPr>
        <w:t>Additional Notes</w:t>
      </w:r>
      <w:r>
        <w:rPr>
          <w:rFonts w:ascii="Times New Roman" w:hAnsi="Times New Roman"/>
          <w:sz w:val="20"/>
        </w:rPr>
        <w:t xml:space="preserve">”) having the same terms and conditions and with the same CUSIP, ISIN and/or other identifying number as any series of Notes, in an unlimited aggregate principal amount, except for issue date, issue price, initial interest accrual date and the date of the first payment of interest thereon. Any such Additional Notes will be consolidated with the Notes of the applicable series to form a single series of Debt Securities under the Indenture, </w:t>
      </w:r>
      <w:r>
        <w:rPr>
          <w:rFonts w:ascii="Times New Roman" w:hAnsi="Times New Roman"/>
          <w:i/>
          <w:sz w:val="20"/>
        </w:rPr>
        <w:t>provided</w:t>
      </w:r>
      <w:r>
        <w:rPr>
          <w:rFonts w:ascii="Times New Roman" w:hAnsi="Times New Roman"/>
          <w:sz w:val="20"/>
        </w:rPr>
        <w:t xml:space="preserve">, that any such Additional Notes that are not fungible with the Notes of the applicable series for U.S. federal income tax purposes will have a separate CUSIP, ISIN and/or other identifying number, if applicable, than the Notes of such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MODIFICATIONS TO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b/>
          <w:i/>
          <w:sz w:val="20"/>
        </w:rPr>
        <w:t>Governing Law.</w:t>
      </w:r>
      <w:r>
        <w:rPr>
          <w:rFonts w:ascii="Times New Roman" w:hAnsi="Times New Roman"/>
          <w:sz w:val="20"/>
        </w:rPr>
        <w:t xml:space="preserve"> </w:t>
      </w:r>
      <w:r>
        <w:rPr>
          <w:rFonts w:ascii="Times New Roman" w:hAnsi="Times New Roman"/>
          <w:sz w:val="20"/>
          <w:u w:val="single"/>
        </w:rPr>
        <w:t>Section 1.11</w:t>
      </w:r>
      <w:r>
        <w:rPr>
          <w:rFonts w:ascii="Times New Roman" w:hAnsi="Times New Roman"/>
          <w:sz w:val="20"/>
        </w:rPr>
        <w:t xml:space="preserve"> of the Base Indenture is hereby amended, solely with respect to the Notes and any Debt Securities issued after the date hereof, by inserting the following at the immediate end of such Section: </w:t>
      </w:r>
    </w:p>
    <w:p>
      <w:pPr>
        <w:pStyle w:val="TextBody"/>
        <w:bidi w:val="0"/>
        <w:spacing w:before="120" w:after="0"/>
        <w:jc w:val="left"/>
        <w:rPr/>
      </w:pPr>
      <w:r>
        <w:rPr/>
        <w:t>“</w:t>
      </w:r>
      <w:r>
        <w:rPr>
          <w:rFonts w:ascii="Times New Roman" w:hAnsi="Times New Roman"/>
          <w:sz w:val="20"/>
        </w:rPr>
        <w:t xml:space="preserve">EACH OF THE COMPANY AND THE TRUSTEE, AND EACH HOLDER OF A DEBT SECURITY BY ITS ACCEPTANCE THEREOF, HEREBY IRREVOCABLY WAIVES, TO THE FULLEST EXTENT PERMITTED BY APPLICABLE LAW, ANY AND ALL RIGHT IT MAY HAVE TO TRIAL BY JURY IN ANY LEGAL PROCEEDING DIRECTLY OR INDIRECTLY ARISING OUT OF OR RELATING TO THIS INDENTURE, THE DEBT SECURITIES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irrevocably consents and submits, for itself and in respect of any of its assets or property, to the nonexclusive jurisdiction of any court of the State of New York or any United States Federal court sitting, in each case, in the Borough of Manhattan, The City of New York, New York, United States of America, and any appellate court from any thereof in any suit, action or proceeding that may be brought in connection with this Indenture or the Debt Securities, and waives any immunity from the jurisdiction of such courts. The Company irrevocably waives, to the fullest extent permitted by law, any objection to any such suit, action or proceeding that may be brought in such courts whether on the grounds of venue, residence or domicile or on the ground that any such suit, action or proceeding has been brought in an inconvenient forum. The Company agrees, to the fullest extent that it lawfully may do so, that final judgment in any such suit, action or proceeding brought in such a court shall be conclusive and binding upon the Company, and waives, to the fullest extent permitted by law, any objection to the enforcement by any competent court in the Company’s jurisdiction of organization of judgments validly obtained in any such court in New York on the basis of such suit,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b/>
          <w:i/>
          <w:sz w:val="20"/>
        </w:rPr>
        <w:t>Limitation on Suits.</w:t>
      </w:r>
      <w:r>
        <w:rPr>
          <w:rFonts w:ascii="Times New Roman" w:hAnsi="Times New Roman"/>
          <w:sz w:val="20"/>
        </w:rPr>
        <w:t xml:space="preserve"> </w:t>
      </w:r>
      <w:r>
        <w:rPr>
          <w:rFonts w:ascii="Times New Roman" w:hAnsi="Times New Roman"/>
          <w:sz w:val="20"/>
          <w:u w:val="single"/>
        </w:rPr>
        <w:t>Clause (3)</w:t>
      </w:r>
      <w:r>
        <w:rPr>
          <w:rFonts w:ascii="Times New Roman" w:hAnsi="Times New Roman"/>
          <w:sz w:val="20"/>
        </w:rPr>
        <w:t xml:space="preserve"> of </w:t>
      </w:r>
      <w:r>
        <w:rPr>
          <w:rFonts w:ascii="Times New Roman" w:hAnsi="Times New Roman"/>
          <w:sz w:val="20"/>
          <w:u w:val="single"/>
        </w:rPr>
        <w:t>Section 5.07</w:t>
      </w:r>
      <w:r>
        <w:rPr>
          <w:rFonts w:ascii="Times New Roman" w:hAnsi="Times New Roman"/>
          <w:sz w:val="20"/>
        </w:rPr>
        <w:t xml:space="preserve"> of the Base Indenture is hereby amended, solely with respect to the Notes and any Debt Securities issued after the date hereof, by replacing such clause in its entirety with the following: </w:t>
      </w:r>
    </w:p>
    <w:p>
      <w:pPr>
        <w:pStyle w:val="TextBody"/>
        <w:bidi w:val="0"/>
        <w:spacing w:before="120" w:after="0"/>
        <w:jc w:val="left"/>
        <w:rPr/>
      </w:pPr>
      <w:r>
        <w:rPr/>
        <w:t>“</w:t>
      </w:r>
      <w:r>
        <w:rPr>
          <w:rFonts w:ascii="Times New Roman" w:hAnsi="Times New Roman"/>
          <w:sz w:val="20"/>
        </w:rPr>
        <w:t xml:space="preserve">(3) such Holder or Holders have offered to the Trustee indemnity satisfactory to it against the costs, expenses and liabilities which may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b/>
          <w:i/>
          <w:sz w:val="20"/>
        </w:rPr>
        <w:t>Certain Duties and Responsibilities.</w:t>
      </w:r>
      <w:r>
        <w:rPr>
          <w:rFonts w:ascii="Times New Roman" w:hAnsi="Times New Roman"/>
          <w:sz w:val="20"/>
        </w:rPr>
        <w:t xml:space="preserve"> </w:t>
      </w:r>
      <w:r>
        <w:rPr>
          <w:rFonts w:ascii="Times New Roman" w:hAnsi="Times New Roman"/>
          <w:sz w:val="20"/>
          <w:u w:val="single"/>
        </w:rPr>
        <w:t>Clause (c)(4)</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of the Base Indenture is hereby amended, solely with respect to the Notes and any Debt Securities issued after the date hereof, by replacing such clause in its entirety with the following: </w:t>
      </w:r>
    </w:p>
    <w:p>
      <w:pPr>
        <w:pStyle w:val="TextBody"/>
        <w:bidi w:val="0"/>
        <w:spacing w:before="120" w:after="0"/>
        <w:jc w:val="left"/>
        <w:rPr/>
      </w:pPr>
      <w:r>
        <w:rPr/>
        <w:t>“</w:t>
      </w:r>
      <w:r>
        <w:rPr>
          <w:rFonts w:ascii="Times New Roman" w:hAnsi="Times New Roman"/>
          <w:sz w:val="20"/>
        </w:rPr>
        <w:t xml:space="preserve">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it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b/>
          <w:i/>
          <w:sz w:val="20"/>
        </w:rPr>
        <w:t>Certain Rights of Trustee</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Section 6.03</w:t>
      </w:r>
      <w:r>
        <w:rPr>
          <w:rFonts w:ascii="Times New Roman" w:hAnsi="Times New Roman"/>
          <w:sz w:val="20"/>
        </w:rPr>
        <w:t xml:space="preserve"> of the Base Indenture is hereby amended, solely with respect to the Notes and any Debt Securities issued after the date hereof, by: </w:t>
      </w:r>
    </w:p>
    <w:p>
      <w:pPr>
        <w:pStyle w:val="TextBody"/>
        <w:bidi w:val="0"/>
        <w:spacing w:before="120" w:after="0"/>
        <w:jc w:val="left"/>
        <w:rPr>
          <w:rFonts w:ascii="Times New Roman" w:hAnsi="Times New Roman"/>
          <w:sz w:val="20"/>
        </w:rPr>
      </w:pPr>
      <w:r>
        <w:rPr>
          <w:rFonts w:ascii="Times New Roman" w:hAnsi="Times New Roman"/>
          <w:sz w:val="20"/>
        </w:rPr>
        <w:t xml:space="preserve">(a) replacing </w:t>
      </w:r>
      <w:r>
        <w:rPr>
          <w:rFonts w:ascii="Times New Roman" w:hAnsi="Times New Roman"/>
          <w:sz w:val="20"/>
          <w:u w:val="single"/>
        </w:rPr>
        <w:t>clause (e)</w:t>
      </w:r>
      <w:r>
        <w:rPr>
          <w:rFonts w:ascii="Times New Roman" w:hAnsi="Times New Roman"/>
          <w:sz w:val="20"/>
        </w:rPr>
        <w:t xml:space="preserve"> in its entirety with the following: </w:t>
      </w:r>
    </w:p>
    <w:p>
      <w:pPr>
        <w:pStyle w:val="TextBody"/>
        <w:bidi w:val="0"/>
        <w:spacing w:before="120" w:after="0"/>
        <w:jc w:val="left"/>
        <w:rPr/>
      </w:pPr>
      <w:r>
        <w:rPr/>
        <w:t>“</w:t>
      </w:r>
      <w:r>
        <w:rPr>
          <w:rFonts w:ascii="Times New Roman" w:hAnsi="Times New Roman"/>
          <w:sz w:val="20"/>
        </w:rPr>
        <w:t xml:space="preserve">(e) the Trustee shall be under no obligation to exercise any of the rights or powers vested in it by this Indenture at the request or direction of any of the Holders of Debt Securities of any series pursuant to this Indenture, unless such Holders shall have offered to the Trustee security or indemnity satisfactory to it, against the costs, expenses and liabilities which might be incurred by it in compliance with such request or direction;”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deleting the word “and” at the end of </w:t>
      </w:r>
      <w:r>
        <w:rPr>
          <w:rFonts w:ascii="Times New Roman" w:hAnsi="Times New Roman"/>
          <w:sz w:val="20"/>
          <w:u w:val="single"/>
        </w:rPr>
        <w:t>clause (f)</w:t>
      </w:r>
      <w:r>
        <w:rPr>
          <w:rFonts w:ascii="Times New Roman" w:hAnsi="Times New Roman"/>
          <w:sz w:val="20"/>
        </w:rPr>
        <w:t xml:space="preserve"> thereof, replacing the period at the end of </w:t>
      </w:r>
      <w:r>
        <w:rPr>
          <w:rFonts w:ascii="Times New Roman" w:hAnsi="Times New Roman"/>
          <w:sz w:val="20"/>
          <w:u w:val="single"/>
        </w:rPr>
        <w:t>clause (g)</w:t>
      </w:r>
      <w:r>
        <w:rPr>
          <w:rFonts w:ascii="Times New Roman" w:hAnsi="Times New Roman"/>
          <w:sz w:val="20"/>
        </w:rPr>
        <w:t xml:space="preserve"> thereof with “; and”, and inserting the following at the immediate end of such Section: </w:t>
      </w:r>
    </w:p>
    <w:p>
      <w:pPr>
        <w:pStyle w:val="TextBody"/>
        <w:bidi w:val="0"/>
        <w:spacing w:before="120" w:after="0"/>
        <w:jc w:val="left"/>
        <w:rPr/>
      </w:pPr>
      <w:r>
        <w:rPr/>
        <w:t>“</w:t>
      </w:r>
      <w:r>
        <w:rPr>
          <w:rFonts w:ascii="Times New Roman" w:hAnsi="Times New Roman"/>
          <w:sz w:val="20"/>
        </w:rPr>
        <w:t xml:space="preserve">(h) 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Debt Securities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(j) anything in this Indenture notwithstanding, in no event shall the Trustee be liable for special, indirect, punitive or consequential or other similar loss or damage of any kind whatsoever (including but not limited to loss of profit), even if the Trustee has been advised as to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(k) 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 </w:t>
      </w:r>
    </w:p>
    <w:p>
      <w:pPr>
        <w:pStyle w:val="TextBody"/>
        <w:bidi w:val="0"/>
        <w:spacing w:before="120" w:after="0"/>
        <w:jc w:val="left"/>
        <w:rPr>
          <w:rFonts w:ascii="Times New Roman" w:hAnsi="Times New Roman"/>
          <w:sz w:val="20"/>
        </w:rPr>
      </w:pPr>
      <w:r>
        <w:rPr>
          <w:rFonts w:ascii="Times New Roman" w:hAnsi="Times New Roman"/>
          <w:sz w:val="20"/>
        </w:rPr>
        <w:t xml:space="preserve">(l) the permissive right of the Trustee to take actions permitted by this Indenture will not be construed as an obligation or duty to do so; and </w:t>
      </w:r>
    </w:p>
    <w:p>
      <w:pPr>
        <w:pStyle w:val="TextBody"/>
        <w:bidi w:val="0"/>
        <w:spacing w:before="120" w:after="0"/>
        <w:jc w:val="left"/>
        <w:rPr>
          <w:rFonts w:ascii="Times New Roman" w:hAnsi="Times New Roman"/>
          <w:sz w:val="20"/>
        </w:rPr>
      </w:pPr>
      <w:r>
        <w:rPr>
          <w:rFonts w:ascii="Times New Roman" w:hAnsi="Times New Roman"/>
          <w:sz w:val="20"/>
        </w:rPr>
        <w:t xml:space="preserve">(m) the rights, privileges, protection, immunities and benefits given to the Trustee, including, without limitation, its right to be indemnified, are extended to, and shall be enforceable by, the Trustee in each of its capacities hereunder, and to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b/>
          <w:i/>
          <w:sz w:val="20"/>
        </w:rPr>
        <w:t>Compensation and Reimbursement.</w:t>
      </w:r>
      <w:r>
        <w:rPr>
          <w:rFonts w:ascii="Times New Roman" w:hAnsi="Times New Roman"/>
          <w:sz w:val="20"/>
        </w:rPr>
        <w:t xml:space="preserve"> </w:t>
      </w:r>
      <w:r>
        <w:rPr>
          <w:rFonts w:ascii="Times New Roman" w:hAnsi="Times New Roman"/>
          <w:sz w:val="20"/>
          <w:u w:val="single"/>
        </w:rPr>
        <w:t>Clauses (2)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of the first paragraph of, and the third paragraph of, </w:t>
      </w:r>
      <w:r>
        <w:rPr>
          <w:rFonts w:ascii="Times New Roman" w:hAnsi="Times New Roman"/>
          <w:sz w:val="20"/>
          <w:u w:val="single"/>
        </w:rPr>
        <w:t>Section 6.07</w:t>
      </w:r>
      <w:r>
        <w:rPr>
          <w:rFonts w:ascii="Times New Roman" w:hAnsi="Times New Roman"/>
          <w:sz w:val="20"/>
        </w:rPr>
        <w:t xml:space="preserve"> of the Base Indenture are hereby amended, amended and restated and superseded in their entirety, solely with respect to the Notes and any Debt Securities issued after the date hereof, by replacing such clauses of such Section with the following: </w:t>
      </w:r>
    </w:p>
    <w:p>
      <w:pPr>
        <w:pStyle w:val="TextBody"/>
        <w:bidi w:val="0"/>
        <w:spacing w:before="120" w:after="0"/>
        <w:jc w:val="left"/>
        <w:rPr/>
      </w:pPr>
      <w:r>
        <w:rPr/>
        <w:t>“</w:t>
      </w:r>
      <w:r>
        <w:rPr>
          <w:rFonts w:ascii="Times New Roman" w:hAnsi="Times New Roman"/>
          <w:sz w:val="20"/>
        </w:rPr>
        <w:t xml:space="preserve">(2) to reimburse the Trustee in Dollars upon its request for all reasonable expenses, disbursements and advances incurred or made by the Trustee in accordance with any provision of this Indenture (including the reasonable compensation and the expenses, disbursements and advances of its agents and counsel), except any such expense, disbursement or advance as may be attributable to its gross negligence or willful misconduct;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indemnify the Trustee in Dollars for, and to hold it harmless against, any and all loss, liability, damage, claims or expense, including taxes (other than taxes based upon, measured by or determined by income of the Trustee), incurred without gross negligence or willful misconduct on its part, arising out of or in connection with the acceptance or administration of this trust or performance of its duties hereunder, including the costs and expenses of enforcing this Indenture against the Company (including </w:t>
      </w:r>
      <w:r>
        <w:rPr>
          <w:rFonts w:ascii="Times New Roman" w:hAnsi="Times New Roman"/>
          <w:sz w:val="20"/>
          <w:u w:val="single"/>
        </w:rPr>
        <w:t>Section 6.07</w:t>
      </w:r>
      <w:r>
        <w:rPr>
          <w:rFonts w:ascii="Times New Roman" w:hAnsi="Times New Roman"/>
          <w:sz w:val="20"/>
        </w:rPr>
        <w:t xml:space="preserve">) and of defending itself against any claim (whether asserted by any Holder of the Company) or liability in connection with the exercise or performance of any of its powers or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As security for the performance of the obligations of the Company under this </w:t>
      </w:r>
      <w:r>
        <w:rPr>
          <w:rFonts w:ascii="Times New Roman" w:hAnsi="Times New Roman"/>
          <w:sz w:val="20"/>
          <w:u w:val="single"/>
        </w:rPr>
        <w:t>Section 6.07</w:t>
      </w:r>
      <w:r>
        <w:rPr>
          <w:rFonts w:ascii="Times New Roman" w:hAnsi="Times New Roman"/>
          <w:sz w:val="20"/>
        </w:rPr>
        <w:t xml:space="preserve">, the Trustee shall have a lien prior to the Debt Securities and Coupons, if any, upon all property and funds held or collected by the Trustee, as such, hereunder, except funds held in trust for the benefit of the Holders for the payment of amounts due on the Debt Securities and Coupons.”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b/>
          <w:i/>
          <w:sz w:val="20"/>
        </w:rPr>
        <w:t>Reports by Company</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of the Base Indenture is hereby amended, solely with respect to the Notes and any Debt Securities issued after the date hereof, by inserting the following at the immediate end of such Section: </w:t>
      </w:r>
    </w:p>
    <w:p>
      <w:pPr>
        <w:pStyle w:val="TextBody"/>
        <w:bidi w:val="0"/>
        <w:spacing w:before="120" w:after="0"/>
        <w:jc w:val="left"/>
        <w:rPr/>
      </w:pPr>
      <w:r>
        <w:rPr/>
        <w:t>“</w:t>
      </w:r>
      <w:r>
        <w:rPr>
          <w:rFonts w:ascii="Times New Roman" w:hAnsi="Times New Roman"/>
          <w:sz w:val="20"/>
        </w:rPr>
        <w:t xml:space="preserve">Delivery of such reports, information and documents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b/>
          <w:i/>
          <w:sz w:val="20"/>
        </w:rPr>
        <w:t>Supplemental Indentures Without Consent of Holders</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Section 11.01</w:t>
      </w:r>
      <w:r>
        <w:rPr>
          <w:rFonts w:ascii="Times New Roman" w:hAnsi="Times New Roman"/>
          <w:sz w:val="20"/>
        </w:rPr>
        <w:t xml:space="preserve"> of the Base Indenture is hereby amended, solely with respect to the Notes and any Debt Securities issued after the date hereof, by replacing the period at the end of clause (11) thereof with “; or” and inserting the following at the immediate end of such Section: </w:t>
      </w:r>
    </w:p>
    <w:p>
      <w:pPr>
        <w:pStyle w:val="TextBody"/>
        <w:bidi w:val="0"/>
        <w:spacing w:before="120" w:after="0"/>
        <w:jc w:val="left"/>
        <w:rPr/>
      </w:pPr>
      <w:r>
        <w:rPr/>
        <w:t>“</w:t>
      </w:r>
      <w:r>
        <w:rPr>
          <w:rFonts w:ascii="Times New Roman" w:hAnsi="Times New Roman"/>
          <w:sz w:val="20"/>
        </w:rPr>
        <w:t xml:space="preserve">(12) to conform the text of any provision of the Indenture, as amended and supplemented from time to time, that is applicable to the Notes of any series or the Notes of any series, as applicable, to the description of the terms of the Notes of such series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9.8 </w:t>
      </w:r>
      <w:r>
        <w:rPr>
          <w:rFonts w:ascii="Times New Roman" w:hAnsi="Times New Roman"/>
          <w:b/>
          <w:i/>
          <w:sz w:val="20"/>
        </w:rPr>
        <w:t>Selection by Trustee of Debt Securities to Be Redeemed.</w:t>
      </w:r>
      <w:r>
        <w:rPr>
          <w:rFonts w:ascii="Times New Roman" w:hAnsi="Times New Roman"/>
          <w:sz w:val="20"/>
        </w:rPr>
        <w:t xml:space="preserve"> </w:t>
      </w:r>
      <w:r>
        <w:rPr>
          <w:rFonts w:ascii="Times New Roman" w:hAnsi="Times New Roman"/>
          <w:sz w:val="20"/>
          <w:u w:val="single"/>
        </w:rPr>
        <w:t>Section 13.03</w:t>
      </w:r>
      <w:r>
        <w:rPr>
          <w:rFonts w:ascii="Times New Roman" w:hAnsi="Times New Roman"/>
          <w:sz w:val="20"/>
        </w:rPr>
        <w:t xml:space="preserve"> of the Base Indenture is hereby amended, solely with respect to the Notes and any Debt Securities issued after the date hereof, by replacing the first full sentence in its entirety with the following: </w:t>
      </w:r>
    </w:p>
    <w:p>
      <w:pPr>
        <w:pStyle w:val="TextBody"/>
        <w:bidi w:val="0"/>
        <w:spacing w:before="120" w:after="0"/>
        <w:jc w:val="left"/>
        <w:rPr/>
      </w:pPr>
      <w:r>
        <w:rPr/>
        <w:t>“</w:t>
      </w:r>
      <w:r>
        <w:rPr>
          <w:rFonts w:ascii="Times New Roman" w:hAnsi="Times New Roman"/>
          <w:sz w:val="20"/>
        </w:rPr>
        <w:t>Except in the case of a redemption in whole of the Bearer Securities or the Registered Securities of such series, if less than all the Debt Securities of any series are to be redeemed at the election of the Company, the particular Debt Securities to be redeemed shall be selected not more than 60 days prior to the Redemption Date by the Trustee, from the Outstanding Debt Securities of such series not previously called for redemption, by such method as the Trustee shall deem fair and appropriate (</w:t>
      </w:r>
      <w:r>
        <w:rPr>
          <w:rFonts w:ascii="Times New Roman" w:hAnsi="Times New Roman"/>
          <w:i/>
          <w:sz w:val="20"/>
        </w:rPr>
        <w:t>provided</w:t>
      </w:r>
      <w:r>
        <w:rPr>
          <w:rFonts w:ascii="Times New Roman" w:hAnsi="Times New Roman"/>
          <w:sz w:val="20"/>
        </w:rPr>
        <w:t xml:space="preserve">, that such method complies with the rules of any national securities exchange or quotation system on which the Debt Securities of such series are then listed and in accordance with the applicable procedures of The Depository Trust Company) and which may provide for the selection for redemption of portions (equal to the minimum authorized denomination for Debt Securities of such series or any integral multiple thereof) of the principal amount of Debt Securities of such series in a denomination larger than the minimum authorized denomination for Debt Securities of such series pursuant to </w:t>
      </w:r>
      <w:r>
        <w:rPr>
          <w:rFonts w:ascii="Times New Roman" w:hAnsi="Times New Roman"/>
          <w:sz w:val="20"/>
          <w:u w:val="single"/>
        </w:rPr>
        <w:t>Section 3.02</w:t>
      </w:r>
      <w:r>
        <w:rPr>
          <w:rFonts w:ascii="Times New Roman" w:hAnsi="Times New Roman"/>
          <w:sz w:val="20"/>
        </w:rPr>
        <w:t xml:space="preserve"> in the Currency in which the Debt Securities of such series are denominated.”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i/>
          <w:sz w:val="20"/>
        </w:rPr>
        <w:t>Confirmation of Base Indenture.</w:t>
      </w:r>
      <w:r>
        <w:rPr>
          <w:rFonts w:ascii="Times New Roman" w:hAnsi="Times New Roman"/>
          <w:sz w:val="20"/>
        </w:rPr>
        <w:t xml:space="preserve"> The Base Indenture, as heretofore supplemented and as amended and supplemented by this Eighth Supplemental Indenture, is in all respects ratified and confirmed, and this Eighth Supplemental Indenture shall be deemed part of the Base Indenture as heretofore supplemented in the manner and to the extent herein and therein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b/>
          <w:i/>
          <w:sz w:val="20"/>
        </w:rPr>
        <w:t>Responsibility of Recitals</w:t>
      </w:r>
      <w:r>
        <w:rPr>
          <w:rFonts w:ascii="Times New Roman" w:hAnsi="Times New Roman"/>
          <w:sz w:val="20"/>
        </w:rPr>
        <w:t xml:space="preserve">, </w:t>
      </w:r>
      <w:r>
        <w:rPr>
          <w:rFonts w:ascii="Times New Roman" w:hAnsi="Times New Roman"/>
          <w:b/>
          <w:i/>
          <w:sz w:val="20"/>
        </w:rPr>
        <w:t>Etc.</w:t>
      </w:r>
      <w:r>
        <w:rPr>
          <w:rFonts w:ascii="Times New Roman" w:hAnsi="Times New Roman"/>
          <w:sz w:val="20"/>
        </w:rPr>
        <w:t xml:space="preserve"> The Trustee assumes no responsibility for the correctness of the statements and recitals herein. The Trustee makes no representations as to the validity or sufficiency of this Eighth Supplemental Indenture or of the Notes. The Trustee shall not be accountable for the use or application by the Company of the Notes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b/>
          <w:i/>
          <w:sz w:val="20"/>
        </w:rPr>
        <w:t>Concerning the Trustee.</w:t>
      </w:r>
      <w:r>
        <w:rPr>
          <w:rFonts w:ascii="Times New Roman" w:hAnsi="Times New Roman"/>
          <w:sz w:val="20"/>
        </w:rPr>
        <w:t xml:space="preserve"> The Trustee does not assume any duties, responsibility or liabilities by reason of this Eighth Supplemental Indenture other than as set forth in the Base Indenture as heretofore supplemented and, in carrying out its responsibilities hereunder, the Trustee shall have all of the rights, powers, privileges, protections and immunities which it possesses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b/>
          <w:i/>
          <w:sz w:val="20"/>
        </w:rPr>
        <w:t>Governing Law.</w:t>
      </w:r>
      <w:r>
        <w:rPr>
          <w:rFonts w:ascii="Times New Roman" w:hAnsi="Times New Roman"/>
          <w:sz w:val="20"/>
        </w:rPr>
        <w:t xml:space="preserve"> This Eighth Supplemental Indenture and the Notes for all purposes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b/>
          <w:i/>
          <w:sz w:val="20"/>
        </w:rPr>
        <w:t>Severability.</w:t>
      </w:r>
      <w:r>
        <w:rPr>
          <w:rFonts w:ascii="Times New Roman" w:hAnsi="Times New Roman"/>
          <w:sz w:val="20"/>
        </w:rPr>
        <w:t xml:space="preserve"> In case any provision in this Eighth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b/>
          <w:i/>
          <w:sz w:val="20"/>
        </w:rPr>
        <w:t>Counterparts; Electronic Signatures.</w:t>
      </w:r>
      <w:r>
        <w:rPr>
          <w:rFonts w:ascii="Times New Roman" w:hAnsi="Times New Roman"/>
          <w:sz w:val="20"/>
        </w:rPr>
        <w:t xml:space="preserve"> This Eighth Supplemental Indenture may be executed in any number of counterparts, each of which shall be an original, but such counterparts shall together constitute but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exchange of copies of this Eighth Supplemental Indenture and of signature pages by facsimile or electronic (</w:t>
      </w:r>
      <w:r>
        <w:rPr>
          <w:rFonts w:ascii="Times New Roman" w:hAnsi="Times New Roman"/>
          <w:i/>
          <w:sz w:val="20"/>
        </w:rPr>
        <w:t>i.e.</w:t>
      </w:r>
      <w:r>
        <w:rPr>
          <w:rFonts w:ascii="Times New Roman" w:hAnsi="Times New Roman"/>
          <w:sz w:val="20"/>
        </w:rPr>
        <w:t xml:space="preserve">, “pdf” or “tif”) transmission shall constitute effective execution and delivery of this Eighth Supplemental Indenture as to the parties hereto and may be used in lieu of the original Eighth Supplemental Indenture for all purposes. The exchange of copies of this Eighth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Eighth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Eighth Supplemental Indenture as to the parties hereto and may be used in lieu of the original. The Issuer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Eighth Supplemental Indenture or the Notes to the contrary notwithstanding, for the purposes of the transactions contemplated by this Eighth Supplemental Indenture, the Notes and any document to be signed in connection with the Indenture or the Notes (including the Notes and amendments, supplements, waivers, consents and other modifications, the Trustee’s certificate of authentication on the Notes, Company Requests, Company Orders, Officers’ Certificates and Opinions of Counsel and other amendment,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b/>
          <w:i/>
          <w:sz w:val="20"/>
        </w:rPr>
        <w:t>Conflict with Trust Indenture Act.</w:t>
      </w:r>
      <w:r>
        <w:rPr>
          <w:rFonts w:ascii="Times New Roman" w:hAnsi="Times New Roman"/>
          <w:sz w:val="20"/>
        </w:rPr>
        <w:t xml:space="preserve"> If any provision hereof limits, qualifies or conflicts with a provision of the Trust Indenture Act which is required to be a part of and govern this Eighth Supplemental Indenture, the provision of the Trust Indenture Act shall control. If any provision of this Eighth Supplemental Indenture modifies or excludes any provision of the Trust Indenture Act which may be so modified or excluded, the latter provision shall be deemed to apply to this Eighth Supplemental Indenture, as so modified or excluded,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b/>
          <w:i/>
          <w:sz w:val="20"/>
        </w:rPr>
        <w:t>Effect of Headings.</w:t>
      </w:r>
      <w:r>
        <w:rPr>
          <w:rFonts w:ascii="Times New Roman" w:hAnsi="Times New Roman"/>
          <w:sz w:val="20"/>
        </w:rPr>
        <w:t xml:space="preserve"> The Article and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b/>
          <w:i/>
          <w:sz w:val="20"/>
        </w:rPr>
        <w:t>USA Patriot Act.</w:t>
      </w:r>
      <w:r>
        <w:rPr>
          <w:rFonts w:ascii="Times New Roman" w:hAnsi="Times New Roman"/>
          <w:sz w:val="20"/>
        </w:rPr>
        <w:t xml:space="preserve"> The parties hereto acknowledge that, in accordance with Section 326 of the USA Patriot Act (Title III of Pub. L. 107-56 (signed into law October 26, 2001)) (as amended, modified or supplemented from time to time, the “</w:t>
      </w:r>
      <w:r>
        <w:rPr>
          <w:rFonts w:ascii="Times New Roman" w:hAnsi="Times New Roman"/>
          <w:b/>
          <w:sz w:val="20"/>
        </w:rPr>
        <w:t>USA Patriot Act</w:t>
      </w:r>
      <w:r>
        <w:rPr>
          <w:rFonts w:ascii="Times New Roman" w:hAnsi="Times New Roman"/>
          <w:sz w:val="20"/>
        </w:rPr>
        <w:t xml:space="preserve">”), the Trustee, like all financial institutions, is required to obtain, verify, and record information that identifies each natural person or legal entity that opens an account. The parties to this Eighth Supplemental Indenture agree that they will provide the Trustee with such information as the Trustee may request in order for the Trustee to satisfy the requirements of the USA Patriot Act.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Eighth Supplemental Indenture to be duly executed,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HUBBELL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Jonathon B. Murphy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Name:  Jonathon B. Murphy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Attest: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Katherine A. Lane</w:t>
            </w:r>
          </w:p>
        </w:tc>
      </w:tr>
      <w:tr>
        <w:trPr/>
        <w:tc>
          <w:tcPr>
            <w:tcW w:w="6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 Katherine A. Lane</w:t>
            </w:r>
          </w:p>
        </w:tc>
      </w:tr>
      <w:tr>
        <w:trPr/>
        <w:tc>
          <w:tcPr>
            <w:tcW w:w="6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General Counsel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Glen A. Fougere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Glen A. Fougere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Eighth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A-1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b/>
          <w:i/>
          <w:sz w:val="20"/>
        </w:rPr>
        <w:t>To be included in Global Notes</w:t>
      </w:r>
      <w:r>
        <w:rPr>
          <w:rFonts w:ascii="Times New Roman" w:hAnsi="Times New Roman"/>
          <w:sz w:val="20"/>
        </w:rPr>
        <w:t xml:space="preserve"> — </w:t>
      </w:r>
      <w:r>
        <w:rPr>
          <w:rFonts w:ascii="Times New Roman" w:hAnsi="Times New Roman"/>
          <w:b/>
          <w:sz w:val="20"/>
        </w:rPr>
        <w:t xml:space="preserve">THIS NOTE IS A GLOBAL NOTE WITHIN THE MEANING OF THE INDENTURE HEREINAFTER REFERRED TO AND IS REGISTERED IN THE NAME OF A U.S. DEPOSITARY OR A NOMINEE THEREOF. THIS NOTE MAY NOT BE EXCHANGED IN WHOLE OR IN PART FOR A NOTE REGISTERED, AND NO TRANSFER OF THIS NOTE IN WHOLE OR IN PART MAY BE REGISTERED, IN THE NAME OF ANY PERSON OTHER THAN SUCH U.S. DEPOSITARY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HUBBELL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4.650% Senior Notes due 2031 </w:t>
      </w:r>
    </w:p>
    <w:p>
      <w:pPr>
        <w:pStyle w:val="TextBody"/>
        <w:bidi w:val="0"/>
        <w:spacing w:before="240" w:after="0"/>
        <w:jc w:val="right"/>
        <w:rPr>
          <w:rFonts w:ascii="Times New Roman" w:hAnsi="Times New Roman"/>
          <w:sz w:val="20"/>
        </w:rPr>
      </w:pPr>
      <w:r>
        <w:rPr>
          <w:rFonts w:ascii="Times New Roman" w:hAnsi="Times New Roman"/>
          <w:sz w:val="20"/>
        </w:rPr>
        <w:t xml:space="preserve">CUSIP: 443510 AM4 </w:t>
      </w:r>
    </w:p>
    <w:p>
      <w:pPr>
        <w:pStyle w:val="TextBody"/>
        <w:bidi w:val="0"/>
        <w:spacing w:before="0" w:after="0"/>
        <w:jc w:val="right"/>
        <w:rPr>
          <w:rFonts w:ascii="Times New Roman" w:hAnsi="Times New Roman"/>
          <w:sz w:val="20"/>
        </w:rPr>
      </w:pPr>
      <w:r>
        <w:rPr>
          <w:rFonts w:ascii="Times New Roman" w:hAnsi="Times New Roman"/>
          <w:sz w:val="20"/>
        </w:rPr>
        <w:t xml:space="preserve">ISIN: US443510AM41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8"/>
        <w:gridCol w:w="123"/>
        <w:gridCol w:w="4884"/>
      </w:tblGrid>
      <w:tr>
        <w:trPr/>
        <w:tc>
          <w:tcPr>
            <w:tcW w:w="51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No. R-[  ]</w:t>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right"/>
              <w:rPr/>
            </w:pPr>
            <w:r>
              <w:rPr/>
              <w:t>U.S. $[    ]</w:t>
            </w:r>
          </w:p>
        </w:tc>
      </w:tr>
    </w:tbl>
    <w:p>
      <w:pPr>
        <w:pStyle w:val="TextBody"/>
        <w:bidi w:val="0"/>
        <w:spacing w:before="240" w:after="0"/>
        <w:jc w:val="left"/>
        <w:rPr>
          <w:rFonts w:ascii="Times New Roman" w:hAnsi="Times New Roman"/>
          <w:sz w:val="20"/>
        </w:rPr>
      </w:pPr>
      <w:r>
        <w:rPr>
          <w:rFonts w:ascii="Times New Roman" w:hAnsi="Times New Roman"/>
          <w:sz w:val="20"/>
        </w:rPr>
        <w:t>Hubbell Incorporated, a corporation duly organized and existing under the laws of the State of Connecticut (herein called the “</w:t>
      </w:r>
      <w:r>
        <w:rPr>
          <w:rFonts w:ascii="Times New Roman" w:hAnsi="Times New Roman"/>
          <w:b/>
          <w:sz w:val="20"/>
        </w:rPr>
        <w:t>Company</w:t>
      </w:r>
      <w:r>
        <w:rPr>
          <w:rFonts w:ascii="Times New Roman" w:hAnsi="Times New Roman"/>
          <w:sz w:val="20"/>
        </w:rPr>
        <w:t>,” which term includes any person that succeeds thereto, and is substituted therefor, under the terms of the Indenture hereinafter referred to), for value received, hereby promises to pay to Cede &amp; Co. or registered assigns, the principal sum of [    ] ($[    ]) on June 15, 2031 (the “</w:t>
      </w:r>
      <w:r>
        <w:rPr>
          <w:rFonts w:ascii="Times New Roman" w:hAnsi="Times New Roman"/>
          <w:b/>
          <w:sz w:val="20"/>
        </w:rPr>
        <w:t>Stated Maturity Date</w:t>
      </w:r>
      <w:r>
        <w:rPr>
          <w:rFonts w:ascii="Times New Roman" w:hAnsi="Times New Roman"/>
          <w:sz w:val="20"/>
        </w:rPr>
        <w:t>”). This Note will bear interest at the rate of 4.650% per annum from June 8, 2026. Interest on this Note will be payable semi-annually in arrears on June 15 and December 15 of each year (each, an “</w:t>
      </w:r>
      <w:r>
        <w:rPr>
          <w:rFonts w:ascii="Times New Roman" w:hAnsi="Times New Roman"/>
          <w:b/>
          <w:sz w:val="20"/>
        </w:rPr>
        <w:t>Interest Payment Date</w:t>
      </w:r>
      <w:r>
        <w:rPr>
          <w:rFonts w:ascii="Times New Roman" w:hAnsi="Times New Roman"/>
          <w:sz w:val="20"/>
        </w:rPr>
        <w:t>”), beginning on December 15, 2026, to the Person in whose name this Note is registered at the close of business on the June 1 and December 1 (whether or not a Business Day) preceding the relevant Interest Payment Date (the “</w:t>
      </w:r>
      <w:r>
        <w:rPr>
          <w:rFonts w:ascii="Times New Roman" w:hAnsi="Times New Roman"/>
          <w:b/>
          <w:sz w:val="20"/>
        </w:rPr>
        <w:t>Regular Record Date</w:t>
      </w:r>
      <w:r>
        <w:rPr>
          <w:rFonts w:ascii="Times New Roman" w:hAnsi="Times New Roman"/>
          <w:sz w:val="20"/>
        </w:rPr>
        <w:t xml:space="preserve">”). If any Interest Payment Date is not a Business Day, then payment will be made on the next succeeding Business Day, but without any additional interest or other amount. Interest payable on any Interest Payment Date (and the Stated Maturity Date) shall be the amount of interest accrued from, and including, the immediately preceding Interest Payment Date in respect of which interest has been paid or duly provided for (or from and including the date hereof, if no interest has previously been paid or duly provided for with respect to this Note) to, but excluding, such Interest Payment Date (or the Stated Maturity Date). Interest on the Notes will be computed on the basis of a 360-day year consisting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premium, if any, on and interest on this Note shall be payable in Dollars, the transfer of this Note shall be registrable, and this Note shall be exchangeable for Notes of a like aggregate principal amount, at the office or agency of the Company maintained for such purpose, which shall initially be the office or agency of the Trustee in Hartford, Connecticut; </w:t>
      </w:r>
      <w:r>
        <w:rPr>
          <w:rFonts w:ascii="Times New Roman" w:hAnsi="Times New Roman"/>
          <w:i/>
          <w:sz w:val="20"/>
        </w:rPr>
        <w:t>provided</w:t>
      </w:r>
      <w:r>
        <w:rPr>
          <w:rFonts w:ascii="Times New Roman" w:hAnsi="Times New Roman"/>
          <w:sz w:val="20"/>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pay principal of, premium, if any, on, and interest on, this Note in global form registered in the name of or held by DTC or such other U.S. Depositary as any officer of the Company may from time to time designate, or its respective nominee, by wire in immediately available funds to DTC (or such other U.S. Depositary) or its nominee, as the case may be, as the Holder of this Note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31"/>
        <w:gridCol w:w="123"/>
        <w:gridCol w:w="4651"/>
      </w:tblGrid>
      <w:tr>
        <w:trPr/>
        <w:tc>
          <w:tcPr>
            <w:tcW w:w="543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5431" w:type="dxa"/>
            <w:tcBorders/>
          </w:tcPr>
          <w:p>
            <w:pPr>
              <w:pStyle w:val="TableContents"/>
              <w:bidi w:val="0"/>
              <w:spacing w:before="0" w:after="0"/>
              <w:jc w:val="left"/>
              <w:rPr>
                <w:rFonts w:ascii="Times New Roman" w:hAnsi="Times New Roman"/>
                <w:sz w:val="20"/>
              </w:rPr>
            </w:pPr>
            <w:r>
              <w:rPr>
                <w:rFonts w:ascii="Times New Roman" w:hAnsi="Times New Roman"/>
                <w:sz w:val="20"/>
              </w:rPr>
              <w:t>Dated: ____________________</w:t>
            </w:r>
          </w:p>
        </w:tc>
        <w:tc>
          <w:tcPr>
            <w:tcW w:w="123" w:type="dxa"/>
            <w:tcBorders/>
            <w:vAlign w:val="bottom"/>
          </w:tcPr>
          <w:p>
            <w:pPr>
              <w:pStyle w:val="TableContents"/>
              <w:bidi w:val="0"/>
              <w:spacing w:before="0" w:after="283"/>
              <w:jc w:val="left"/>
              <w:rPr/>
            </w:pPr>
            <w:r>
              <w:rPr/>
              <w:t>  </w:t>
            </w:r>
          </w:p>
        </w:tc>
        <w:tc>
          <w:tcPr>
            <w:tcW w:w="4651" w:type="dxa"/>
            <w:tcBorders/>
            <w:vAlign w:val="bottom"/>
          </w:tcPr>
          <w:p>
            <w:pPr>
              <w:pStyle w:val="TableContents"/>
              <w:bidi w:val="0"/>
              <w:spacing w:before="0" w:after="283"/>
              <w:jc w:val="left"/>
              <w:rPr>
                <w:sz w:val="4"/>
                <w:szCs w:val="4"/>
              </w:rPr>
            </w:pPr>
            <w:r>
              <w:rPr>
                <w:sz w:val="4"/>
                <w:szCs w:val="4"/>
              </w:rPr>
            </w:r>
          </w:p>
        </w:tc>
      </w:tr>
    </w:tbl>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HUBBELL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 Jonathon B. Murphy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Attest: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 </w:t>
            </w:r>
          </w:p>
        </w:tc>
      </w:tr>
      <w:tr>
        <w:trPr/>
        <w:tc>
          <w:tcPr>
            <w:tcW w:w="6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 Katherine A. Lane</w:t>
            </w:r>
          </w:p>
        </w:tc>
      </w:tr>
      <w:tr>
        <w:trPr/>
        <w:tc>
          <w:tcPr>
            <w:tcW w:w="6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President,General Counsel and Secretary</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i/>
          <w:sz w:val="20"/>
        </w:rPr>
      </w:pPr>
      <w:r>
        <w:rPr>
          <w:rFonts w:ascii="Times New Roman" w:hAnsi="Times New Roman"/>
          <w:i/>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Debt Securities of a series referred to in the within-mentioned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Dated: ____________________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Reverse of Note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series of Debt Securities of the Company designated the “4.650% Senior Notes due 2031” (herein called the “</w:t>
      </w:r>
      <w:r>
        <w:rPr>
          <w:rFonts w:ascii="Times New Roman" w:hAnsi="Times New Roman"/>
          <w:b/>
          <w:sz w:val="20"/>
        </w:rPr>
        <w:t>Note</w:t>
      </w:r>
      <w:r>
        <w:rPr>
          <w:rFonts w:ascii="Times New Roman" w:hAnsi="Times New Roman"/>
          <w:sz w:val="20"/>
        </w:rPr>
        <w:t>” or the “</w:t>
      </w:r>
      <w:r>
        <w:rPr>
          <w:rFonts w:ascii="Times New Roman" w:hAnsi="Times New Roman"/>
          <w:b/>
          <w:sz w:val="20"/>
        </w:rPr>
        <w:t>Notes</w:t>
      </w:r>
      <w:r>
        <w:rPr>
          <w:rFonts w:ascii="Times New Roman" w:hAnsi="Times New Roman"/>
          <w:sz w:val="20"/>
        </w:rPr>
        <w:t>,” as the case may be), issued and to be issued under an Indenture, dated as of September 15, 1995 (the “</w:t>
      </w:r>
      <w:r>
        <w:rPr>
          <w:rFonts w:ascii="Times New Roman" w:hAnsi="Times New Roman"/>
          <w:b/>
          <w:sz w:val="20"/>
        </w:rPr>
        <w:t>Base Indenture</w:t>
      </w:r>
      <w:r>
        <w:rPr>
          <w:rFonts w:ascii="Times New Roman" w:hAnsi="Times New Roman"/>
          <w:sz w:val="20"/>
        </w:rPr>
        <w:t>”), between the Company and Chemical Bank (as predecessor trustee to The Bank of New York Mellon Trust Company, N.A.), as trustee, as heretofore supplemented and as amended and supplemented by the Eighth Supplemental Indenture, dated as of June 8, 2026 (the “</w:t>
      </w:r>
      <w:r>
        <w:rPr>
          <w:rFonts w:ascii="Times New Roman" w:hAnsi="Times New Roman"/>
          <w:b/>
          <w:sz w:val="20"/>
        </w:rPr>
        <w:t>Eighth Supplemental Indenture</w:t>
      </w:r>
      <w:r>
        <w:rPr>
          <w:rFonts w:ascii="Times New Roman" w:hAnsi="Times New Roman"/>
          <w:sz w:val="20"/>
        </w:rPr>
        <w:t>”, and the Base Indenture as heretofore supplemented and as amended and supplemented by the Eighth Supplemental Indenture, the “</w:t>
      </w:r>
      <w:r>
        <w:rPr>
          <w:rFonts w:ascii="Times New Roman" w:hAnsi="Times New Roman"/>
          <w:b/>
          <w:sz w:val="20"/>
        </w:rPr>
        <w:t>Indenture</w:t>
      </w:r>
      <w:r>
        <w:rPr>
          <w:rFonts w:ascii="Times New Roman" w:hAnsi="Times New Roman"/>
          <w:sz w:val="20"/>
        </w:rPr>
        <w:t>”), between the Company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Reference is hereby made to the Indenture for a statement of the respective rights, limitations of rights, duties and immunities thereunder of the Company, the Trustee and the Holders of the Notes, and of the terms upon which the Notes are, and are to be, authenticated and delivered. </w:t>
      </w:r>
    </w:p>
    <w:p>
      <w:pPr>
        <w:pStyle w:val="TextBody"/>
        <w:bidi w:val="0"/>
        <w:spacing w:before="36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The Notes will be redeemable in whole or in part, at the Company’s option, at any time and from time to time prior to May 15, 2031 (one month prior to the Stated Maturity Date) (such date, the “</w:t>
      </w:r>
      <w:r>
        <w:rPr>
          <w:rFonts w:ascii="Times New Roman" w:hAnsi="Times New Roman"/>
          <w:b/>
          <w:sz w:val="20"/>
        </w:rPr>
        <w:t>Par Call Date</w:t>
      </w:r>
      <w:r>
        <w:rPr>
          <w:rFonts w:ascii="Times New Roman" w:hAnsi="Times New Roman"/>
          <w:sz w:val="20"/>
        </w:rPr>
        <w:t>”) at a Redemption Price equal to the greater of (the “</w:t>
      </w:r>
      <w:r>
        <w:rPr>
          <w:rFonts w:ascii="Times New Roman" w:hAnsi="Times New Roman"/>
          <w:b/>
          <w:sz w:val="20"/>
        </w:rPr>
        <w:t>Applicable Premium</w:t>
      </w:r>
      <w:r>
        <w:rPr>
          <w:rFonts w:ascii="Times New Roman" w:hAnsi="Times New Roman"/>
          <w:sz w:val="20"/>
        </w:rPr>
        <w:t xml:space="preserve">”) (a) 100% of the principal amount of the Notes to be redeemed and (b) the sum of the present values of the remaining scheduled payments of principal and interest thereon from the Redemption Date to the Par Call Date (assuming for such purpose that the Notes matured on the Par Call Date and not including any portion of such payments of interest accrued as of the Redemption Date) discounted to the Redemption Date on a semi-annual basis (assuming a 360-day year consisting of twelve 30-day months) at the Treasury Rate (as defined below), plus 10 basis points, plus, in each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at the Company’s option, at any time and from time to time on or after the Par Call Date at a Redemption Price equal to 100% of the principal amount of the Notes to be redeemed, plus accrued and unpaid interest, if any,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Further, installments of interest on any Notes to be optionally redeemed that are due and payable on Interest Payment Dates falling on or prior to a Redemption Date will be payable on the applicable Interest Payment Date to the Holders of the Notes as of the close of business on the relevant Regular Record Date according to such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delivered electronically if the Notes are held by DTC in accordance with DTC’s customary procedures, not less than 10 days and not more than 60 days prior to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notice of any redemption may, at the Company’s discretion, be subject to one or more conditions precedent, including, but not limited to, completion of any equity offering or Change of Control, issuance of indebtedness or other transaction or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any change to the timing set forth in the original notice of redemption will be given prior to the Redemption Date and in accordance with DTC’s applicable procedures. The Redemption Date may be delayed until such time (including more than 60 days after the date the notice of redemption was mailed or delivered, including by electronic transmission) as any or all such conditions shall be satisfied (or waived by the Company in its sole discretion) and notice of any redemption may be rescinded at any time if the Company determines in its sole discretion that any or all of such conditions will not be satisfied (or waived). The Company may provide in such notice that payment of the applicable Redemption Price and the performance of its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from and after the Redemption Date, interest will cease to accrue on the Notes or portions thereof called for redemption. If less than all of the Notes are to be redeemed, the Notes to be redeemed will be selected by the Trustee by a method that the Trustee deems to be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optional redemption provisions, the following term is applicable: </w:t>
      </w:r>
    </w:p>
    <w:p>
      <w:pPr>
        <w:pStyle w:val="TextBody"/>
        <w:bidi w:val="0"/>
        <w:spacing w:before="12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(a) The Treasury Rate applicable to the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applicable Treasury Rate, the Company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on the second Business Day preceding such Redemption Date. In determining the Treasury Rate in accordance with the terms of this paragraph, the semi-annual yield to maturity of the applicable United States Treasury security shall be based upon the average of the bid and asked prices (expressed as a percentage of principal amount, and rounded to three decimal places) of such United States Treasury security at 11:00 a.m., New York City time, on the second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execute, and the Trustee shall authenticate and deliver to the Holder of this Note without service charge, a new Note or Notes, of like tenor and form, of any authorized denomination as requested by such Holder in aggregate principal amount equal to and in exchange for the unredeemed portion of the principal of this Note so surrendered. </w:t>
      </w:r>
    </w:p>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unless the Company has (a) exercised its option to redeem the Notes as described above under “Optional Redemption”, (b) become required to redeem the Notes as described below under “Special Mandatory Redemption” or (c) defeased the Notes pursuant to </w:t>
      </w:r>
      <w:r>
        <w:rPr>
          <w:rFonts w:ascii="Times New Roman" w:hAnsi="Times New Roman"/>
          <w:sz w:val="20"/>
          <w:u w:val="single"/>
        </w:rPr>
        <w:t>Article Fifteen</w:t>
      </w:r>
      <w:r>
        <w:rPr>
          <w:rFonts w:ascii="Times New Roman" w:hAnsi="Times New Roman"/>
          <w:sz w:val="20"/>
        </w:rPr>
        <w:t xml:space="preserve"> of the Base Indenture (as modified by the Eighth Supplemental Indenture), the Company will be required to make an offer (a “</w:t>
      </w:r>
      <w:r>
        <w:rPr>
          <w:rFonts w:ascii="Times New Roman" w:hAnsi="Times New Roman"/>
          <w:b/>
          <w:sz w:val="20"/>
        </w:rPr>
        <w:t>Change of Control Offer</w:t>
      </w:r>
      <w:r>
        <w:rPr>
          <w:rFonts w:ascii="Times New Roman" w:hAnsi="Times New Roman"/>
          <w:sz w:val="20"/>
        </w:rPr>
        <w:t>”) to each Holder of the Notes to repurchase all or any part (equal to $2,000 or an integral multiple of $1,000 in excess thereof) of each Holder’s Notes in the manner and on the terms set forth herein. In a Change of Control Offer, the Company will be required to offer payment in cash equal to 101% of the aggregate principal amount of Notes repurchased, plus accrued and unpaid interest, if any, on the Notes repurchased to, but excluding, the repurchase date (a “</w:t>
      </w:r>
      <w:r>
        <w:rPr>
          <w:rFonts w:ascii="Times New Roman" w:hAnsi="Times New Roman"/>
          <w:b/>
          <w:sz w:val="20"/>
        </w:rPr>
        <w:t>Change of Control Payment</w:t>
      </w:r>
      <w:r>
        <w:rPr>
          <w:rFonts w:ascii="Times New Roman" w:hAnsi="Times New Roman"/>
          <w:sz w:val="20"/>
        </w:rPr>
        <w:t>”). Within 30 days following any Change of Control Triggering Event or, at the Company’s option, prior to any Change of Control, but after public announcement of the transaction that constitutes or may constitute the Change of Control, a notice will be mailed to the trustee and mailed, or delivered electronically if the Notes are held by DTC in accordance with DTC’s customary procedures, to Holders of Notes, describing the transaction that constitutes or may constitute the Change of Control Triggering Event and offering to repurchase such Notes on the repurchase date specified in the applicable notice, which date will be no earlier than 15 days and (except to the extent that such notice is conditioned on the occurrence of the Change of Control Triggering Event) no later than 60 days from the date on which such notice is mailed (or delivered electronically) to the Holders of Notes, which date, in a notice conditioned on the occurrence of a Change of Control Triggering Event, may be designated by reference to the date that such condition is satisfied, rather than a specific date (a “</w:t>
      </w:r>
      <w:r>
        <w:rPr>
          <w:rFonts w:ascii="Times New Roman" w:hAnsi="Times New Roman"/>
          <w:b/>
          <w:sz w:val="20"/>
        </w:rPr>
        <w:t>Change of Control Payment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On each Change of Control Payment Date, the Company will, to the extent lawful: (a) accept for payment all Notes or portions of Notes properly tendered pursuant to the applicable Change of Control Offer, (b) deposit with the Paying Agent an amount equal to the Change of Control Payment in respect of all Notes or portions of Notes properly tendered pursuant to the applicable Change of Control Offer, and (c) deliver or cause to be delivered to the Trustee the Notes properly accepted together with an Officers’ Certificate stating the aggregate principal amount of Notes or portions of Notes being repurchased.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 Change of Control Offer upon the occurrence of a Change of Control Triggering Event if a third party makes such an offer in the manner, at the times and otherwise in compliance with the requirements for an offer made by the Company, and such third party purchases all Notes properly tendered and not withdrawn under its offer. In addition, the Company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required to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the Company will comply with such securities laws and regulations and will not be deemed to have breached the Company’s obligations under the Change of Control Offer provisions of the Notes by virtue of any such conflict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Change of Control Offer provisions, the following terms are applicable: </w:t>
      </w:r>
    </w:p>
    <w:p>
      <w:pPr>
        <w:pStyle w:val="TextBody"/>
        <w:bidi w:val="0"/>
        <w:spacing w:before="12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 the direct or indirect sale, lease, transfer, conveyance or other disposition (other than by way of merger or consolidation), in one or more series of related transactions, of all or substantially all of the Company’s assets and its subsidiaries’ assets, taken as a whole, to any person, other than the Company or one of its subsidiaries; </w:t>
      </w:r>
      <w:r>
        <w:rPr>
          <w:rFonts w:ascii="Times New Roman" w:hAnsi="Times New Roman"/>
          <w:i/>
          <w:sz w:val="20"/>
        </w:rPr>
        <w:t>provided</w:t>
      </w:r>
      <w:r>
        <w:rPr>
          <w:rFonts w:ascii="Times New Roman" w:hAnsi="Times New Roman"/>
          <w:sz w:val="20"/>
        </w:rPr>
        <w:t xml:space="preserve">, that none of the circumstances in this clause (a) will be a Change of Control if the persons that beneficially own the Company’s Voting Stock immediately prior to the transaction own, directly or indirectly, Voting Stock of the transferee person representing a majority of the voting power of the transferee person’s Voting Stock immediately after giving effect to the transaction; (b) the consummation of any transaction (including, without limitation, any merger or consolidation) the result of which is that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that a person shall not be deemed a beneficial owner of, or to own beneficially, (i) any securities tendered pursuant to a tender or exchange offer made by or on behalf of such person or any of such person’s affiliates until such tendered securities are accepted for purchase or exchange thereunder or (ii) any securities if such beneficial ownership (A) arises solely as a result of a revocable proxy delivered in response to a proxy or consent solicitation made by the Company pursuant to the applicable rules and regulations under the Exchange Act and (B) is not also then reportable on Schedule 13D (or any successor schedule) under the Exchange Act; (c) 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measured by voting power rather than number of shares; (d) the first day on which a majority of the members of the Company’s Board of Directors are not Continuing Directors; or (e) the adoption of a plan relating to the liquidation or dissolution of the Company. Notwithstanding the foregoing, a transaction will not be deemed to involve a Change of Control if (a) the Company becomes a direct or indirect wholly-owned subsidiary of a holding company or other person and (b)(1) the direct or indirect holders of the Voting Stock of such holding company or such other person immediately following that transaction are substantially the same as the holders of the Company’s Voting Stock immediately prior to that transaction or (2) immediately following that transaction no person (other than a holding company or other person satisfying the requirements of this sentence) is the beneficial owner, directly or indirectly, of more than 50% of the Voting Stock of such holding company or such other person. As used in this definition, the term “</w:t>
      </w:r>
      <w:r>
        <w:rPr>
          <w:rFonts w:ascii="Times New Roman" w:hAnsi="Times New Roman"/>
          <w:b/>
          <w:sz w:val="20"/>
        </w:rPr>
        <w:t>person</w:t>
      </w:r>
      <w:r>
        <w:rPr>
          <w:rFonts w:ascii="Times New Roman" w:hAnsi="Times New Roman"/>
          <w:sz w:val="20"/>
        </w:rPr>
        <w:t xml:space="preserve">” has the meaning given thereto in Section 13(d)(3) of the Exchange Act.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Continuing Directors</w:t>
      </w:r>
      <w:r>
        <w:rPr>
          <w:rFonts w:ascii="Times New Roman" w:hAnsi="Times New Roman"/>
          <w:sz w:val="20"/>
        </w:rPr>
        <w:t xml:space="preserve">” means, as of any date of determination, any member of the Company’s Board of Directors who (a) was a member of such Board of Directors on the date the Notes were issued or (b)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equal to or higher than Baa3 (or the equivalent) by Moody’s and BBB- (or the equivalent) by S&amp;P, and the equivalent Investment Grade credit rating from any replacement Rating Agency or Rating Agencies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Rating Agencies</w:t>
      </w:r>
      <w:r>
        <w:rPr>
          <w:rFonts w:ascii="Times New Roman" w:hAnsi="Times New Roman"/>
          <w:sz w:val="20"/>
        </w:rPr>
        <w:t xml:space="preserve">” means (a) each of Moody’s and S&amp;P; and (b) if any of Moody’s or S&amp;P ceases to rate the Notes or fails to make a rating of the Notes publicly available for reasons outside of the Company’s control, a “nationally recognized statistical rating organization” as defined under Section 3(a)(62) of the Exchange Act selected by the Company (as certified by a Board Resolution) as a replacement agency for Moody’s or S&amp;P, or both of them, as the case may be. </w:t>
      </w:r>
    </w:p>
    <w:p>
      <w:pPr>
        <w:pStyle w:val="TextBody"/>
        <w:bidi w:val="0"/>
        <w:spacing w:before="240" w:after="0"/>
        <w:jc w:val="left"/>
        <w:rPr/>
      </w:pPr>
      <w:r>
        <w:rPr/>
        <w:t>“</w:t>
      </w:r>
      <w:r>
        <w:rPr>
          <w:rFonts w:ascii="Times New Roman" w:hAnsi="Times New Roman"/>
          <w:b/>
          <w:sz w:val="20"/>
        </w:rPr>
        <w:t>Rating Event</w:t>
      </w:r>
      <w:r>
        <w:rPr>
          <w:rFonts w:ascii="Times New Roman" w:hAnsi="Times New Roman"/>
          <w:sz w:val="20"/>
        </w:rPr>
        <w:t xml:space="preserve">” means the rating on the Notes is lowered by both Rating Agencies and the Notes are rated below Investment Grade by both Rating Agencies, in any case on any day during the period (which period will be extended so long as the rating of the Notes is under publicly announced consideration for a possible downgrade by either of the Rating Agencies) commencing upon the earlier of (a) the first public notice of the occurrence of a Change of Control or (b) the first public notice of the Company’s intention to effect a Change of Control, and in each case, ending 60 days following the consummation of the Change of Control, and the rating on the Notes is not, within such period, subsequently upgraded by both Rating Agencies to an Investment Grade rating. However, a Rating Event otherwise arising by virtue of a particular reduction in rating shall not be deemed to have occurred in respect of a particular Change of Control (and thus shall not be deemed a Change of Control Triggering Event for purposes of the definition of Change of Control Triggering Event) if the Rating Agencies making the reduction in rating to which this definition would otherwise apply do not announce or publicly confirm or inform a Responsible Officer of the Trustee in writing at the Company’s request that the reduction was the result, in whole or in part, of any event or circumstance comprised of or arising as a result of, or in respect of, the applicable Change of Control.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with respect to any specified “person” (as that term is used in Section 13(d)(3) of the Exchange Act) as of any date, the capital stock or other equity interests of such person that is at the time entitled to vote generally in the election of the Board of Directors of such person.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In the event that (x) the NSI Industries Acquisition is not consummated on or prior to the date that is five (5) Business Days after the later of (i) May 1, 2027 or (ii) any later date as the parties to the Purchase Agreement may agree as the “Outside Date” thereunder or (y) the Company notifies the trustee in writing that it will not pursue the consummation of the NSI Industries Acquisition (any such event being a “</w:t>
      </w:r>
      <w:r>
        <w:rPr>
          <w:rFonts w:ascii="Times New Roman" w:hAnsi="Times New Roman"/>
          <w:b/>
          <w:sz w:val="20"/>
        </w:rPr>
        <w:t>Special Mandatory Redemption Event</w:t>
      </w:r>
      <w:r>
        <w:rPr>
          <w:rFonts w:ascii="Times New Roman" w:hAnsi="Times New Roman"/>
          <w:sz w:val="20"/>
        </w:rPr>
        <w:t>”), the Company will be required to redeem the Notes then outstanding (such redemption, the “</w:t>
      </w:r>
      <w:r>
        <w:rPr>
          <w:rFonts w:ascii="Times New Roman" w:hAnsi="Times New Roman"/>
          <w:b/>
          <w:sz w:val="20"/>
        </w:rPr>
        <w:t>Special Mandatory Redemption</w:t>
      </w:r>
      <w:r>
        <w:rPr>
          <w:rFonts w:ascii="Times New Roman" w:hAnsi="Times New Roman"/>
          <w:sz w:val="20"/>
        </w:rPr>
        <w:t>”) at a redemption price equal to 101% of the aggregate principal amount of the Notes plus accrued and unpaid interest, if any, to, but excluding, the Special Mandatory Redemption Date (as defined below) (the “</w:t>
      </w:r>
      <w:r>
        <w:rPr>
          <w:rFonts w:ascii="Times New Roman" w:hAnsi="Times New Roman"/>
          <w:b/>
          <w:sz w:val="20"/>
        </w:rPr>
        <w:t>Special Mandatory Redemption Price</w:t>
      </w:r>
      <w:r>
        <w:rPr>
          <w:rFonts w:ascii="Times New Roman" w:hAnsi="Times New Roman"/>
          <w:sz w:val="20"/>
        </w:rPr>
        <w:t xml:space="preserve">”). For purposes of the foregoing, the NSI Industries Acquisition will be deemed consummated if the closing under the Purchase Agreement occurs, including after giving effect to any amendments or modifications to the Purchase Agreement or waivers thereunder acceptable to the Company. The Company’s actions and determinations in determining the Special Mandatory Redemption Price for the Notes shall be conclusive and binding for all purposes, absent manifest error. The Trustee will not be responsible or liable for calculating, determining, confirming, or verifying the Special Mandatory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that the Company becomes obligated to redeem the Notes pursuant to the Special Mandatory Redemption, it will promptly, and in any event not more than ten (10) Business Days after the Special Mandatory Redemption Event, deliver notice to the Trustee of the Special Mandatory Redemption and the date upon which the Notes will be redeemed (the “</w:t>
      </w:r>
      <w:r>
        <w:rPr>
          <w:rFonts w:ascii="Times New Roman" w:hAnsi="Times New Roman"/>
          <w:b/>
          <w:sz w:val="20"/>
        </w:rPr>
        <w:t>Special Mandatory Redemption Date</w:t>
      </w:r>
      <w:r>
        <w:rPr>
          <w:rFonts w:ascii="Times New Roman" w:hAnsi="Times New Roman"/>
          <w:sz w:val="20"/>
        </w:rPr>
        <w:t xml:space="preserv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Notes. The Trustee will then reasonably promptly, in accordance with the Trustee’s and DTC’s (or any successor depositary’s) procedures, mail, or electronically deliver such notice of Special Mandatory Redemption to each registered holder of Notes. Unless the Company defaults in payment of the Special Mandatory Redemption Price of the Notes, on and after such Special Mandatory Redemption Date interest will cease to accrue on the Notes. </w:t>
      </w:r>
    </w:p>
    <w:p>
      <w:pPr>
        <w:pStyle w:val="TextBody"/>
        <w:bidi w:val="0"/>
        <w:spacing w:before="240" w:after="0"/>
        <w:jc w:val="left"/>
        <w:rPr/>
      </w:pPr>
      <w:r>
        <w:rPr/>
        <w:t>“</w:t>
      </w:r>
      <w:r>
        <w:rPr>
          <w:rFonts w:ascii="Times New Roman" w:hAnsi="Times New Roman"/>
          <w:b/>
          <w:sz w:val="20"/>
        </w:rPr>
        <w:t>NSI Industries Acquisition</w:t>
      </w:r>
      <w:r>
        <w:rPr>
          <w:rFonts w:ascii="Times New Roman" w:hAnsi="Times New Roman"/>
          <w:sz w:val="20"/>
        </w:rPr>
        <w:t xml:space="preserve">” means the acquisition of NSI Electrical Buyer, Inc. by the Company pursuant to the Purchase Agreement.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Stock Purchase Agreement, dated as of May 1, 2026, by and among Hubbell Incorporated (Delaware), NSI Electrical Buyer, Inc., NSI Buyer, LP and, solely for purposes of Section 13.17 thereof, the Company, as amended, supplemented,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the Notes that are due and payable on Interest Payment Dates falling on or prior to the Special Mandatory Redemption Date will be payable on such Interest Payment Dates to the registered holders as of the close of business on the relevant Regular Record Dates in accordance with the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NSI Industries Acquisition, the foregoing provisions regarding the Special Mandatory Redemption will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u w:val="single"/>
        </w:rPr>
        <w:t>Articles 4</w:t>
      </w:r>
      <w:r>
        <w:rPr>
          <w:rFonts w:ascii="Times New Roman" w:hAnsi="Times New Roman"/>
          <w:sz w:val="20"/>
        </w:rPr>
        <w:t xml:space="preserve"> and </w:t>
      </w:r>
      <w:r>
        <w:rPr>
          <w:rFonts w:ascii="Times New Roman" w:hAnsi="Times New Roman"/>
          <w:sz w:val="20"/>
          <w:u w:val="single"/>
        </w:rPr>
        <w:t>15</w:t>
      </w:r>
      <w:r>
        <w:rPr>
          <w:rFonts w:ascii="Times New Roman" w:hAnsi="Times New Roman"/>
          <w:sz w:val="20"/>
        </w:rPr>
        <w:t xml:space="preserve"> of the Base Indenture (in each case, as modified by the Eighth Supplemental Indenture) will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occurs and is continuing, the principal of the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set forth therein, the transfer of the Notes is registrable in the Security Register. If this Note is presented or surrendered for registration of transfer or exchange, it shall (if so required by the Company and the Trustee) be duly endorsed, or accompanied by a written instrument of transfer in form satisfactory to the Company and the Trustee, duly executed, by the Holder hereof or his attorney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be issued in Dollars and only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payable by the Holder for any registration of transfer or exchange of this Note except as provided in </w:t>
      </w:r>
      <w:r>
        <w:rPr>
          <w:rFonts w:ascii="Times New Roman" w:hAnsi="Times New Roman"/>
          <w:sz w:val="20"/>
          <w:u w:val="single"/>
        </w:rPr>
        <w:t>Section 3.04(b)</w:t>
      </w:r>
      <w:r>
        <w:rPr>
          <w:rFonts w:ascii="Times New Roman" w:hAnsi="Times New Roman"/>
          <w:sz w:val="20"/>
        </w:rPr>
        <w:t xml:space="preserve"> or </w:t>
      </w:r>
      <w:r>
        <w:rPr>
          <w:rFonts w:ascii="Times New Roman" w:hAnsi="Times New Roman"/>
          <w:sz w:val="20"/>
          <w:u w:val="single"/>
        </w:rPr>
        <w:t>3.06</w:t>
      </w:r>
      <w:r>
        <w:rPr>
          <w:rFonts w:ascii="Times New Roman" w:hAnsi="Times New Roman"/>
          <w:sz w:val="20"/>
        </w:rPr>
        <w:t xml:space="preserve"> of the Indenture. The Company may require payment of a sum sufficient to cover any tax or other governmental charge that may be imposed in connection with any registration of transfer or exchange of this Note, other than those expressly provided in the Indenture to be made at the Company’s own expense or without expense or without charge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principal and interest payments on the Notes represented by this Note to the Paying Agent which in turn will make payment to DTC or its nominee, as the case may be, as the sole registered owner and the sole Holder of the Notes represented by this Note for all purposes under the Indenture. So long as DTC or its nominee is the registered owner of this Note, DTC or its nominee, as the case may be, will be considered the sole owner and Holder of the Notes represented by this Note for all purposes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but not defined, in this Note shall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A-2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b/>
          <w:i/>
          <w:sz w:val="20"/>
        </w:rPr>
        <w:t>To be included in Global Notes</w:t>
      </w:r>
      <w:r>
        <w:rPr>
          <w:rFonts w:ascii="Times New Roman" w:hAnsi="Times New Roman"/>
          <w:sz w:val="20"/>
        </w:rPr>
        <w:t xml:space="preserve"> — </w:t>
      </w:r>
      <w:r>
        <w:rPr>
          <w:rFonts w:ascii="Times New Roman" w:hAnsi="Times New Roman"/>
          <w:b/>
          <w:sz w:val="20"/>
        </w:rPr>
        <w:t xml:space="preserve">THIS NOTE IS A GLOBAL NOTE WITHIN THE MEANING OF THE INDENTURE HEREINAFTER REFERRED TO AND IS REGISTERED IN THE NAME OF A U.S. DEPOSITARY OR A NOMINEE THEREOF. THIS NOTE MAY NOT BE EXCHANGED IN WHOLE OR IN PART FOR A NOTE REGISTERED, AND NO TRANSFER OF THIS NOTE IN WHOLE OR IN PART MAY BE REGISTERED, IN THE NAME OF ANY PERSON OTHER THAN SUCH U.S. DEPOSITARY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HUBBELL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4.900% Senior Notes due 2033 </w:t>
      </w:r>
    </w:p>
    <w:p>
      <w:pPr>
        <w:pStyle w:val="TextBody"/>
        <w:bidi w:val="0"/>
        <w:spacing w:before="240" w:after="0"/>
        <w:jc w:val="right"/>
        <w:rPr>
          <w:rFonts w:ascii="Times New Roman" w:hAnsi="Times New Roman"/>
          <w:sz w:val="20"/>
        </w:rPr>
      </w:pPr>
      <w:r>
        <w:rPr>
          <w:rFonts w:ascii="Times New Roman" w:hAnsi="Times New Roman"/>
          <w:sz w:val="20"/>
        </w:rPr>
        <w:t xml:space="preserve">CUSIP: 443510 AN2 </w:t>
      </w:r>
    </w:p>
    <w:p>
      <w:pPr>
        <w:pStyle w:val="TextBody"/>
        <w:bidi w:val="0"/>
        <w:spacing w:before="0" w:after="0"/>
        <w:jc w:val="right"/>
        <w:rPr>
          <w:rFonts w:ascii="Times New Roman" w:hAnsi="Times New Roman"/>
          <w:sz w:val="20"/>
        </w:rPr>
      </w:pPr>
      <w:r>
        <w:rPr>
          <w:rFonts w:ascii="Times New Roman" w:hAnsi="Times New Roman"/>
          <w:sz w:val="20"/>
        </w:rPr>
        <w:t xml:space="preserve">ISIN: US443510AN24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7"/>
        <w:gridCol w:w="4890"/>
      </w:tblGrid>
      <w:tr>
        <w:trPr/>
        <w:tc>
          <w:tcPr>
            <w:tcW w:w="518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No. R[  ]</w:t>
            </w:r>
          </w:p>
        </w:tc>
        <w:tc>
          <w:tcPr>
            <w:tcW w:w="127"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right"/>
              <w:rPr/>
            </w:pPr>
            <w:r>
              <w:rPr/>
              <w:t>U.S. $[    ]</w:t>
            </w:r>
          </w:p>
        </w:tc>
      </w:tr>
    </w:tbl>
    <w:p>
      <w:pPr>
        <w:pStyle w:val="TextBody"/>
        <w:bidi w:val="0"/>
        <w:spacing w:before="240" w:after="0"/>
        <w:jc w:val="left"/>
        <w:rPr>
          <w:rFonts w:ascii="Times New Roman" w:hAnsi="Times New Roman"/>
          <w:sz w:val="20"/>
        </w:rPr>
      </w:pPr>
      <w:r>
        <w:rPr>
          <w:rFonts w:ascii="Times New Roman" w:hAnsi="Times New Roman"/>
          <w:sz w:val="20"/>
        </w:rPr>
        <w:t>Hubbell Incorporated, a corporation duly organized and existing under the laws of the State of Connecticut (herein called the “</w:t>
      </w:r>
      <w:r>
        <w:rPr>
          <w:rFonts w:ascii="Times New Roman" w:hAnsi="Times New Roman"/>
          <w:b/>
          <w:sz w:val="20"/>
        </w:rPr>
        <w:t>Company</w:t>
      </w:r>
      <w:r>
        <w:rPr>
          <w:rFonts w:ascii="Times New Roman" w:hAnsi="Times New Roman"/>
          <w:sz w:val="20"/>
        </w:rPr>
        <w:t>,” which term includes any person that succeeds thereto, and is substituted therefor, under the terms of the Indenture hereinafter referred to), for value received, hereby promises to pay to Cede &amp; Co. or registered assigns, the principal sum of [    ] ($[    ]) on June 15, 2033 (the “</w:t>
      </w:r>
      <w:r>
        <w:rPr>
          <w:rFonts w:ascii="Times New Roman" w:hAnsi="Times New Roman"/>
          <w:b/>
          <w:sz w:val="20"/>
        </w:rPr>
        <w:t>Stated Maturity Date</w:t>
      </w:r>
      <w:r>
        <w:rPr>
          <w:rFonts w:ascii="Times New Roman" w:hAnsi="Times New Roman"/>
          <w:sz w:val="20"/>
        </w:rPr>
        <w:t>”). This Note will bear interest at the rate of 4.900% per annum from June 8, 2026. Interest on this Note will be payable semi-annually in arrears on June 15 and December 15 of each year (each, an “</w:t>
      </w:r>
      <w:r>
        <w:rPr>
          <w:rFonts w:ascii="Times New Roman" w:hAnsi="Times New Roman"/>
          <w:b/>
          <w:sz w:val="20"/>
        </w:rPr>
        <w:t>Interest Payment Date</w:t>
      </w:r>
      <w:r>
        <w:rPr>
          <w:rFonts w:ascii="Times New Roman" w:hAnsi="Times New Roman"/>
          <w:sz w:val="20"/>
        </w:rPr>
        <w:t>”), beginning on December 15, 2026, to the Person in whose name this Note is registered at the close of business on the June 1 and December 1 (whether or not a Business Day) preceding the relevant Interest Payment Date (the “</w:t>
      </w:r>
      <w:r>
        <w:rPr>
          <w:rFonts w:ascii="Times New Roman" w:hAnsi="Times New Roman"/>
          <w:b/>
          <w:sz w:val="20"/>
        </w:rPr>
        <w:t>Regular Record Date</w:t>
      </w:r>
      <w:r>
        <w:rPr>
          <w:rFonts w:ascii="Times New Roman" w:hAnsi="Times New Roman"/>
          <w:sz w:val="20"/>
        </w:rPr>
        <w:t xml:space="preserve">”). If any Interest Payment Date is not a Business Day, then payment will be made on the next succeeding Business Day, but without any additional interest or other amount. Interest payable on any Interest Payment Date (and the Stated Maturity Date) shall be the amount of interest accrued from, and including, the immediately preceding Interest Payment Date in respect of which interest has been paid or duly provided for (or from and including the date hereof, if no interest has previously been paid or duly provided for with respect to this Note) to, but excluding, such Interest Payment Date (or the Stated Maturity Date). Interest on the Notes will be computed on the basis of a 360-day year consisting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premium, if any, on and interest on this Note shall be payable in Dollars, the transfer of this Note shall be registrable, and this Note shall be exchangeable for Notes of a like aggregate principal amount, at the office or agency of the Company maintained for such purpose, which shall initially be the office or agency of the Trustee in Hartford, Connecticut; </w:t>
      </w:r>
      <w:r>
        <w:rPr>
          <w:rFonts w:ascii="Times New Roman" w:hAnsi="Times New Roman"/>
          <w:i/>
          <w:sz w:val="20"/>
        </w:rPr>
        <w:t>provided</w:t>
      </w:r>
      <w:r>
        <w:rPr>
          <w:rFonts w:ascii="Times New Roman" w:hAnsi="Times New Roman"/>
          <w:sz w:val="20"/>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pay principal of, premium, if any, on, and interest on, this Note in global form registered in the name of or held by DTC or such other U.S. Depositary as any officer of the Company may from time to time designate, or its respective nominee, by wire in immediately available funds to DTC (or such other U.S. Depositary) or its nominee, as the case may be, as the Holder of this Note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8"/>
        <w:gridCol w:w="61"/>
        <w:gridCol w:w="3333"/>
      </w:tblGrid>
      <w:tr>
        <w:trPr/>
        <w:tc>
          <w:tcPr>
            <w:tcW w:w="6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HUBBELL INCORPORATED</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 Jonathon B. Murphy</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Attest: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 Katherine A. Lane</w:t>
            </w:r>
          </w:p>
        </w:tc>
      </w:tr>
      <w:tr>
        <w:trPr/>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General Counsel and Secretary</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i/>
          <w:sz w:val="20"/>
        </w:rPr>
      </w:pPr>
      <w:r>
        <w:rPr>
          <w:rFonts w:ascii="Times New Roman" w:hAnsi="Times New Roman"/>
          <w:i/>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Debt Securities of a series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8"/>
        <w:gridCol w:w="61"/>
        <w:gridCol w:w="3333"/>
      </w:tblGrid>
      <w:tr>
        <w:trPr/>
        <w:tc>
          <w:tcPr>
            <w:tcW w:w="6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9"/>
        <w:gridCol w:w="61"/>
        <w:gridCol w:w="3662"/>
      </w:tblGrid>
      <w:tr>
        <w:trPr/>
        <w:tc>
          <w:tcPr>
            <w:tcW w:w="3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2" w:type="dxa"/>
            <w:tcBorders>
              <w:bottom w:val="single" w:sz="2" w:space="0" w:color="000000"/>
            </w:tcBorders>
            <w:tcMar>
              <w:bottom w:w="28" w:type="dxa"/>
            </w:tcMar>
          </w:tcPr>
          <w:p>
            <w:pPr>
              <w:pStyle w:val="TableContents"/>
              <w:bidi w:val="0"/>
              <w:spacing w:before="0" w:after="283"/>
              <w:jc w:val="left"/>
              <w:rPr/>
            </w:pPr>
            <w:r>
              <w:rPr/>
              <w:t> </w:t>
            </w:r>
          </w:p>
        </w:tc>
      </w:tr>
      <w:tr>
        <w:trPr/>
        <w:tc>
          <w:tcPr>
            <w:tcW w:w="35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Reverse of Note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series of Debt Securities of the Company designated the “4.900% Senior Notes due 2033” (herein called the “</w:t>
      </w:r>
      <w:r>
        <w:rPr>
          <w:rFonts w:ascii="Times New Roman" w:hAnsi="Times New Roman"/>
          <w:b/>
          <w:sz w:val="20"/>
        </w:rPr>
        <w:t>Note</w:t>
      </w:r>
      <w:r>
        <w:rPr>
          <w:rFonts w:ascii="Times New Roman" w:hAnsi="Times New Roman"/>
          <w:sz w:val="20"/>
        </w:rPr>
        <w:t>” or the “</w:t>
      </w:r>
      <w:r>
        <w:rPr>
          <w:rFonts w:ascii="Times New Roman" w:hAnsi="Times New Roman"/>
          <w:b/>
          <w:sz w:val="20"/>
        </w:rPr>
        <w:t>Notes</w:t>
      </w:r>
      <w:r>
        <w:rPr>
          <w:rFonts w:ascii="Times New Roman" w:hAnsi="Times New Roman"/>
          <w:sz w:val="20"/>
        </w:rPr>
        <w:t>,” as the case may be), issued and to be issued under an Indenture, dated as of September 15, 1995 (the “</w:t>
      </w:r>
      <w:r>
        <w:rPr>
          <w:rFonts w:ascii="Times New Roman" w:hAnsi="Times New Roman"/>
          <w:b/>
          <w:sz w:val="20"/>
        </w:rPr>
        <w:t>Base Indenture</w:t>
      </w:r>
      <w:r>
        <w:rPr>
          <w:rFonts w:ascii="Times New Roman" w:hAnsi="Times New Roman"/>
          <w:sz w:val="20"/>
        </w:rPr>
        <w:t>”), between the Company and Chemical Bank (as predecessor trustee to The Bank of New York Mellon Trust Company, N.A.), as trustee, as heretofore supplemented and as amended and supplemented by the Eighth Supplemental Indenture, dated as of June 8, 2026 (the “</w:t>
      </w:r>
      <w:r>
        <w:rPr>
          <w:rFonts w:ascii="Times New Roman" w:hAnsi="Times New Roman"/>
          <w:b/>
          <w:sz w:val="20"/>
        </w:rPr>
        <w:t>Eighth Supplemental Indenture</w:t>
      </w:r>
      <w:r>
        <w:rPr>
          <w:rFonts w:ascii="Times New Roman" w:hAnsi="Times New Roman"/>
          <w:sz w:val="20"/>
        </w:rPr>
        <w:t>”, and the Base Indenture as heretofore supplemented and as amended and supplemented by the Eighth Supplemental Indenture, the “</w:t>
      </w:r>
      <w:r>
        <w:rPr>
          <w:rFonts w:ascii="Times New Roman" w:hAnsi="Times New Roman"/>
          <w:b/>
          <w:sz w:val="20"/>
        </w:rPr>
        <w:t>Indenture</w:t>
      </w:r>
      <w:r>
        <w:rPr>
          <w:rFonts w:ascii="Times New Roman" w:hAnsi="Times New Roman"/>
          <w:sz w:val="20"/>
        </w:rPr>
        <w:t>”), between the Company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Reference is hereby made to the Indenture for a statement of the respective rights, limitations of rights, duties and immunities thereunder of the Company, the Trustee and the Holders of the Notes, and of the terms upon which the Notes are, and are to be, authenticated and delivered. </w:t>
      </w:r>
    </w:p>
    <w:p>
      <w:pPr>
        <w:pStyle w:val="TextBody"/>
        <w:bidi w:val="0"/>
        <w:spacing w:before="360" w:after="0"/>
        <w:jc w:val="left"/>
        <w:rPr>
          <w:rFonts w:ascii="Times New Roman" w:hAnsi="Times New Roman"/>
          <w:sz w:val="20"/>
        </w:rPr>
      </w:pPr>
      <w:r>
        <w:rPr>
          <w:rFonts w:ascii="Times New Roman" w:hAnsi="Times New Roman"/>
          <w:i/>
          <w:sz w:val="20"/>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Notes will be redeemable in whole or in part, at the Company’s option, at any time and from time to time prior to April 15, 2033 (two months prior to the Stated Maturity Date) (such date, the “</w:t>
      </w:r>
      <w:r>
        <w:rPr>
          <w:rFonts w:ascii="Times New Roman" w:hAnsi="Times New Roman"/>
          <w:b/>
          <w:sz w:val="20"/>
        </w:rPr>
        <w:t>Par Call Date</w:t>
      </w:r>
      <w:r>
        <w:rPr>
          <w:rFonts w:ascii="Times New Roman" w:hAnsi="Times New Roman"/>
          <w:sz w:val="20"/>
        </w:rPr>
        <w:t>”) at a Redemption Price equal to the greater of (the “</w:t>
      </w:r>
      <w:r>
        <w:rPr>
          <w:rFonts w:ascii="Times New Roman" w:hAnsi="Times New Roman"/>
          <w:b/>
          <w:sz w:val="20"/>
        </w:rPr>
        <w:t>Applicable Premium</w:t>
      </w:r>
      <w:r>
        <w:rPr>
          <w:rFonts w:ascii="Times New Roman" w:hAnsi="Times New Roman"/>
          <w:sz w:val="20"/>
        </w:rPr>
        <w:t xml:space="preserve">”) (a) 100% of the principal amount of the Notes to be redeemed and (b) the sum of the present values of the remaining scheduled payments of principal and interest thereon from the Redemption Date to the Par Call Date (assuming for such purpose that the Notes matured on the Par Call Date and not including any portion of such payments of interest accrued as of the Redemption Date) discounted to the Redemption Date on a semi-annual basis (assuming a 360-day year consisting of twelve 30-day months) at the Treasury Rate (as defined below), plus 15 basis points, plus, in each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at the Company’s option, at any time and from time to time on or after the Par Call Date at a Redemption Price equal to 100% of the principal amount of the Notes to be redeemed, plus accrued and unpaid interest, if any,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Further, installments of interest on any Notes to be optionally redeemed that are due and payable on Interest Payment Dates falling on or prior to a Redemption Date will be payable on the applicable Interest Payment Date to the Holders of the Notes as of the close of business on the relevant Regular Record Date according to such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delivered electronically if the Notes are held by DTC in accordance with DTC’s customary procedures, not less than 10 days and not more than 60 days prior to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notice of any redemption may, at the Company’s discretion, be subject to one or more conditions precedent, including, but not limited to, completion of any equity offering or Change of Control, issuance of indebtedness or other transaction or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any change to the timing set forth in the original notice of redemption will be given prior to the Redemption Date and in accordance with DTC’s applicable procedures. The Redemption Date may be delayed until such time (including more than 60 days after the date the notice of redemption was mailed or delivered, including by electronic transmission) as any or all such conditions shall be satisfied (or waived by the Company in its sole discretion) and notice of any redemption may be rescinded at any time if the Company determines in its sole discretion that any or all of such conditions will not be satisfied (or waived). The Company may provide in such notice that payment of the applicable Redemption Price and the performance of its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from and after the Redemption Date, interest will cease to accrue on the Notes or portions thereof called for redemption. If less than all of the Notes are to be redeemed, the Notes to be redeemed will be selected by the Trustee by a method that the Trustee deems to be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optional redemption provisions, the following term is applicable: </w:t>
      </w:r>
    </w:p>
    <w:p>
      <w:pPr>
        <w:pStyle w:val="TextBody"/>
        <w:bidi w:val="0"/>
        <w:spacing w:before="12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(a) The Treasury Rate applicable to the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applicable Treasury Rate, the Company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on the second Business Day preceding such Redemption Date. In determining the Treasury Rate in accordance with the terms of this paragraph, the semi-annual yield to maturity of the applicable United States Treasury security shall be based upon the average of the bid and asked prices (expressed as a percentage of principal amount, and rounded to three decimal places) of such United States Treasury security at 11:00 a.m., New York City time, on the second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execute, and the Trustee shall authenticate and deliver to the Holder of this Note without service charge, a new Note or Notes, of like tenor and form, of any authorized denomination as requested by such Holder in aggregate principal amount equal to and in exchange for the unredeemed portion of the principal of this Note so surrendered. </w:t>
      </w:r>
    </w:p>
    <w:p>
      <w:pPr>
        <w:pStyle w:val="TextBody"/>
        <w:bidi w:val="0"/>
        <w:spacing w:before="360" w:after="0"/>
        <w:jc w:val="left"/>
        <w:rPr>
          <w:rFonts w:ascii="Times New Roman" w:hAnsi="Times New Roman"/>
          <w:sz w:val="20"/>
        </w:rPr>
      </w:pPr>
      <w:r>
        <w:rPr>
          <w:rFonts w:ascii="Times New Roman" w:hAnsi="Times New Roman"/>
          <w:i/>
          <w:sz w:val="20"/>
        </w:rPr>
        <w:t>Change of Control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unless the Company has (a) exercised its option to redeem the Notes as described above under “Optional Redemption”, (b) become required to redeem the Notes as described below under “Special Mandatory Redemption” or (c) defeased the Notes pursuant to </w:t>
      </w:r>
      <w:r>
        <w:rPr>
          <w:rFonts w:ascii="Times New Roman" w:hAnsi="Times New Roman"/>
          <w:sz w:val="20"/>
          <w:u w:val="single"/>
        </w:rPr>
        <w:t>Article Fifteen</w:t>
      </w:r>
      <w:r>
        <w:rPr>
          <w:rFonts w:ascii="Times New Roman" w:hAnsi="Times New Roman"/>
          <w:sz w:val="20"/>
        </w:rPr>
        <w:t xml:space="preserve"> of the Base Indenture (as modified by the Eighth Supplemental Indenture), the Company will be required to make an offer (a “</w:t>
      </w:r>
      <w:r>
        <w:rPr>
          <w:rFonts w:ascii="Times New Roman" w:hAnsi="Times New Roman"/>
          <w:b/>
          <w:sz w:val="20"/>
        </w:rPr>
        <w:t>Change of Control Offer</w:t>
      </w:r>
      <w:r>
        <w:rPr>
          <w:rFonts w:ascii="Times New Roman" w:hAnsi="Times New Roman"/>
          <w:sz w:val="20"/>
        </w:rPr>
        <w:t>”) to each Holder of the Notes to repurchase all or any part (equal to $2,000 or an integral multiple of $1,000 in excess thereof) of each Holder’s Notes in the manner and on the terms set forth herein. In a Change of Control Offer, the Company will be required to offer payment in cash equal to 101% of the aggregate principal amount of Notes repurchased, plus accrued and unpaid interest, if any, on the Notes repurchased to, but excluding, the repurchase date (a “</w:t>
      </w:r>
      <w:r>
        <w:rPr>
          <w:rFonts w:ascii="Times New Roman" w:hAnsi="Times New Roman"/>
          <w:b/>
          <w:sz w:val="20"/>
        </w:rPr>
        <w:t>Change of Control Payment</w:t>
      </w:r>
      <w:r>
        <w:rPr>
          <w:rFonts w:ascii="Times New Roman" w:hAnsi="Times New Roman"/>
          <w:sz w:val="20"/>
        </w:rPr>
        <w:t>”). Within 30 days following any Change of Control Triggering Event or, at the Company’s option, prior to any Change of Control, but after public announcement of the transaction that constitutes or may constitute the Change of Control, a notice will be mailed to the trustee and mailed, or delivered electronically if the Notes are held by DTC in accordance with DTC’s customary procedures, to Holders of Notes, describing the transaction that constitutes or may constitute the Change of Control Triggering Event and offering to repurchase such Notes on the repurchase date specified in the applicable notice, which date will be no earlier than 15 days and (except to the extent that such notice is conditioned on the occurrence of the Change of Control Triggering Event) no later than 60 days from the date on which such notice is mailed (or delivered electronically) to the Holders of Notes, which date, in a notice conditioned on the occurrence of a Change of Control Triggering Event, may be designated by reference to the date that such condition is satisfied, rather than a specific date (a “</w:t>
      </w:r>
      <w:r>
        <w:rPr>
          <w:rFonts w:ascii="Times New Roman" w:hAnsi="Times New Roman"/>
          <w:b/>
          <w:sz w:val="20"/>
        </w:rPr>
        <w:t>Change of Control Payment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On each Change of Control Payment Date, the Company will, to the extent lawful: (a) accept for payment all Notes or portions of Notes properly tendered pursuant to the applicable Change of Control Offer, (b) deposit with the Paying Agent an amount equal to the Change of Control Payment in respect of all Notes or portions of Notes properly tendered pursuant to the applicable Change of Control Offer, and (c) deliver or cause to be delivered to the Trustee the Notes properly accepted together with an Officers’ Certificate stating the aggregate principal amount of Notes or portions of Notes being repurchased.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 Change of Control Offer upon the occurrence of a Change of Control Triggering Event if a third party makes such an offer in the manner, at the times and otherwise in compliance with the requirements for an offer made by the Company, and such third party purchases all Notes properly tendered and not withdrawn under its offer. In addition, the Company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required to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the Company will comply with such securities laws and regulations and will not be deemed to have breached the Company’s obligations under the Change of Control Offer provisions of the Notes by virtue of any such conflict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Change of Control Offer provisions, the following terms are applicable: </w:t>
      </w:r>
    </w:p>
    <w:p>
      <w:pPr>
        <w:pStyle w:val="TextBody"/>
        <w:bidi w:val="0"/>
        <w:spacing w:before="12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 the direct or indirect sale, lease, transfer, conveyance or other disposition (other than by way of merger or consolidation), in one or more series of related transactions, of all or substantially all of the Company’s assets and its subsidiaries’ assets, taken as a whole, to any person, other than the Company or one of its subsidiaries; </w:t>
      </w:r>
      <w:r>
        <w:rPr>
          <w:rFonts w:ascii="Times New Roman" w:hAnsi="Times New Roman"/>
          <w:i/>
          <w:sz w:val="20"/>
        </w:rPr>
        <w:t>provided</w:t>
      </w:r>
      <w:r>
        <w:rPr>
          <w:rFonts w:ascii="Times New Roman" w:hAnsi="Times New Roman"/>
          <w:sz w:val="20"/>
        </w:rPr>
        <w:t xml:space="preserve">, that none of the circumstances in this clause (a) will be a Change of Control if the persons that beneficially own the Company’s Voting Stock immediately prior to the transaction own, directly or indirectly, Voting Stock of the transferee person representing a majority of the voting power of the transferee person’s Voting Stock immediately after giving effect to the transaction; (b) the consummation of any transaction (including, without limitation, any merger or consolidation) the result of which is that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that a person shall not be deemed a beneficial owner of, or to own beneficially, (i) any securities tendered pursuant to a tender or exchange offer made by or on behalf of such person or any of such person’s affiliates until such tendered securities are accepted for purchase or exchange thereunder or (ii) any securities if such beneficial ownership (A) arises solely as a result of a revocable proxy delivered in response to a proxy or consent solicitation made by the Company pursuant to the applicable rules and regulations under the Exchange Act and (B) is not also then reportable on Schedule 13D (or any successor schedule) under the Exchange Act; (c) 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measured by voting power rather than number of shares; (d) the first day on which a majority of the members of the Company’s Board of Directors are not Continuing Directors; or (e) the adoption of a plan relating to the liquidation or dissolution of the Company. Notwithstanding the foregoing, a transaction will not be deemed to involve a Change of Control if (a) the Company becomes a direct or indirect wholly-owned subsidiary of a holding company or other person and (b)(1) the direct or indirect holders of the Voting Stock of such holding company or such other person immediately following that transaction are substantially the same as the holders of the Company’s Voting Stock immediately prior to that transaction or (2) immediately following that transaction no person (other than a holding company or other person satisfying the requirements of this sentence) is the beneficial owner, directly or indirectly, of more than 50% of the Voting Stock of such holding company or such other person. As used in this definition, the term “</w:t>
      </w:r>
      <w:r>
        <w:rPr>
          <w:rFonts w:ascii="Times New Roman" w:hAnsi="Times New Roman"/>
          <w:b/>
          <w:sz w:val="20"/>
        </w:rPr>
        <w:t>person</w:t>
      </w:r>
      <w:r>
        <w:rPr>
          <w:rFonts w:ascii="Times New Roman" w:hAnsi="Times New Roman"/>
          <w:sz w:val="20"/>
        </w:rPr>
        <w:t xml:space="preserve">” has the meaning given thereto in Section 13(d)(3) of the Exchange Act.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Continuing Directors</w:t>
      </w:r>
      <w:r>
        <w:rPr>
          <w:rFonts w:ascii="Times New Roman" w:hAnsi="Times New Roman"/>
          <w:sz w:val="20"/>
        </w:rPr>
        <w:t xml:space="preserve">” means, as of any date of determination, any member of the Company’s Board of Directors who (a) was a member of such Board of Directors on the date the Notes were issued or (b)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equal to or higher than Baa3 (or the equivalent) by Moody’s and BBB- (or the equivalent) by S&amp;P, and the equivalent Investment Grade credit rating from any replacement Rating Agency or Rating Agencies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Rating Agencies</w:t>
      </w:r>
      <w:r>
        <w:rPr>
          <w:rFonts w:ascii="Times New Roman" w:hAnsi="Times New Roman"/>
          <w:sz w:val="20"/>
        </w:rPr>
        <w:t xml:space="preserve">” means (a) each of Moody’s and S&amp;P; and (b) if any of Moody’s or S&amp;P ceases to rate the Notes or fails to make a rating of the Notes publicly available for reasons outside of the Company’s control, a “nationally recognized statistical rating organization” as defined under Section 3(a)(62) of the Exchange Act selected by the Company (as certified by a Board Resolution) as a replacement agency for Moody’s or S&amp;P, or both of them, as the case may be. </w:t>
      </w:r>
    </w:p>
    <w:p>
      <w:pPr>
        <w:pStyle w:val="TextBody"/>
        <w:bidi w:val="0"/>
        <w:spacing w:before="240" w:after="0"/>
        <w:jc w:val="left"/>
        <w:rPr/>
      </w:pPr>
      <w:r>
        <w:rPr/>
        <w:t>“</w:t>
      </w:r>
      <w:r>
        <w:rPr>
          <w:rFonts w:ascii="Times New Roman" w:hAnsi="Times New Roman"/>
          <w:b/>
          <w:sz w:val="20"/>
        </w:rPr>
        <w:t>Rating Event</w:t>
      </w:r>
      <w:r>
        <w:rPr>
          <w:rFonts w:ascii="Times New Roman" w:hAnsi="Times New Roman"/>
          <w:sz w:val="20"/>
        </w:rPr>
        <w:t xml:space="preserve">” means the rating on the Notes is lowered by both Rating Agencies and the Notes are rated below Investment Grade by both Rating Agencies, in any case on any day during the period (which period will be extended so long as the rating of the Notes is under publicly announced consideration for a possible downgrade by either of the Rating Agencies) commencing upon the earlier of (a) the first public notice of the occurrence of a Change of Control or (b) the first public notice of the Company’s intention to effect a Change of Control, and in each case, ending 60 days following the consummation of the Change of Control, and the rating on the Notes is not, within such period, subsequently upgraded by both Rating Agencies to an Investment Grade rating. However, a Rating Event otherwise arising by virtue of a particular reduction in rating shall not be deemed to have occurred in respect of a particular Change of Control (and thus shall not be deemed a Change of Control Triggering Event for purposes of the definition of Change of Control Triggering Event) if the Rating Agencies making the reduction in rating to which this definition would otherwise apply do not announce or publicly confirm or inform a Responsible Officer of the Trustee in writing at the Company’s request that the reduction was the result, in whole or in part, of any event or circumstance comprised of or arising as a result of, or in respect of, the applicable Change of Control.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with respect to any specified “person” (as that term is used in Section 13(d)(3) of the Exchange Act) as of any date, the capital stock or other equity interests of such person that is at the time entitled to vote generally in the election of the Board of Directors of such person. </w:t>
      </w:r>
    </w:p>
    <w:p>
      <w:pPr>
        <w:pStyle w:val="TextBody"/>
        <w:bidi w:val="0"/>
        <w:spacing w:before="360" w:after="0"/>
        <w:jc w:val="left"/>
        <w:rPr>
          <w:rFonts w:ascii="Times New Roman" w:hAnsi="Times New Roman"/>
          <w:sz w:val="20"/>
        </w:rPr>
      </w:pPr>
      <w:r>
        <w:rPr>
          <w:rFonts w:ascii="Times New Roman" w:hAnsi="Times New Roman"/>
          <w:i/>
          <w:sz w:val="20"/>
        </w:rPr>
        <w:t>Special Mandatory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the event that (x) the NSI Industries Acquisition is not consummated on or prior to the date that is five (5) Business Days after the later of (i) May 1, 2027 or (ii) any later date as the parties to the Purchase Agreement may agree as the “Outside Date” thereunder or (y) the Company notifies the trustee in writing that it will not pursue the consummation of the NSI Industries Acquisition (any such event being a “</w:t>
      </w:r>
      <w:r>
        <w:rPr>
          <w:rFonts w:ascii="Times New Roman" w:hAnsi="Times New Roman"/>
          <w:b/>
          <w:sz w:val="20"/>
        </w:rPr>
        <w:t>Special Mandatory Redemption Event</w:t>
      </w:r>
      <w:r>
        <w:rPr>
          <w:rFonts w:ascii="Times New Roman" w:hAnsi="Times New Roman"/>
          <w:sz w:val="20"/>
        </w:rPr>
        <w:t>”), the Company will be required to redeem the Notes then outstanding (such redemption, the “</w:t>
      </w:r>
      <w:r>
        <w:rPr>
          <w:rFonts w:ascii="Times New Roman" w:hAnsi="Times New Roman"/>
          <w:b/>
          <w:sz w:val="20"/>
        </w:rPr>
        <w:t>Special Mandatory Redemption</w:t>
      </w:r>
      <w:r>
        <w:rPr>
          <w:rFonts w:ascii="Times New Roman" w:hAnsi="Times New Roman"/>
          <w:sz w:val="20"/>
        </w:rPr>
        <w:t>”) at a redemption price equal to 101% of the aggregate principal amount of the Notes plus accrued and unpaid interest, if any, to, but excluding, the Special Mandatory Redemption Date (as defined below) (the “</w:t>
      </w:r>
      <w:r>
        <w:rPr>
          <w:rFonts w:ascii="Times New Roman" w:hAnsi="Times New Roman"/>
          <w:b/>
          <w:sz w:val="20"/>
        </w:rPr>
        <w:t>Special Mandatory Redemption Price</w:t>
      </w:r>
      <w:r>
        <w:rPr>
          <w:rFonts w:ascii="Times New Roman" w:hAnsi="Times New Roman"/>
          <w:sz w:val="20"/>
        </w:rPr>
        <w:t xml:space="preserve">”). For purposes of the foregoing, the NSI Industries Acquisition will be deemed consummated if the closing under the Purchase Agreement occurs, including after giving effect to any amendments or modifications to the Purchase Agreement or waivers thereunder acceptable to the Company. The Company’s actions and determinations in determining the Special Mandatory Redemption Price for the Notes shall be conclusive and binding for all purposes, absent manifest error. The Trustee will not be responsible or liable for calculating, determining, confirming, or verifying the Special Mandatory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that the Company becomes obligated to redeem the Notes pursuant to the Special Mandatory Redemption, it will promptly, and in any event not more than ten (10) Business Days after the Special Mandatory Redemption Event, deliver notice to the Trustee of the Special Mandatory Redemption and the date upon which the Notes will be redeemed (the “</w:t>
      </w:r>
      <w:r>
        <w:rPr>
          <w:rFonts w:ascii="Times New Roman" w:hAnsi="Times New Roman"/>
          <w:b/>
          <w:sz w:val="20"/>
        </w:rPr>
        <w:t>Special Mandatory Redemption Date</w:t>
      </w:r>
      <w:r>
        <w:rPr>
          <w:rFonts w:ascii="Times New Roman" w:hAnsi="Times New Roman"/>
          <w:sz w:val="20"/>
        </w:rPr>
        <w:t xml:space="preserv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Notes. The Trustee will then reasonably promptly, in accordance with the Trustee’s and DTC’s (or any successor depositary’s) procedures, mail, or electronically deliver such notice of Special Mandatory Redemption to each registered holder of Notes. Unless the Company defaults in payment of the Special Mandatory Redemption Price of the Notes, on and after such Special Mandatory Redemption Date interest will cease to accrue on the Notes. </w:t>
      </w:r>
    </w:p>
    <w:p>
      <w:pPr>
        <w:pStyle w:val="TextBody"/>
        <w:bidi w:val="0"/>
        <w:spacing w:before="240" w:after="0"/>
        <w:jc w:val="left"/>
        <w:rPr/>
      </w:pPr>
      <w:r>
        <w:rPr/>
        <w:t>“</w:t>
      </w:r>
      <w:r>
        <w:rPr>
          <w:rFonts w:ascii="Times New Roman" w:hAnsi="Times New Roman"/>
          <w:b/>
          <w:sz w:val="20"/>
        </w:rPr>
        <w:t>NSI Industries Acquisition</w:t>
      </w:r>
      <w:r>
        <w:rPr>
          <w:rFonts w:ascii="Times New Roman" w:hAnsi="Times New Roman"/>
          <w:sz w:val="20"/>
        </w:rPr>
        <w:t xml:space="preserve">” means the acquisition of NSI Electrical Buyer, Inc. by the Company pursuant to the Purchase Agreement.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Stock Purchase Agreement, dated as of May 1, 2026, by and among Hubbell Incorporated (Delaware), NSI Electrical Buyer, Inc., NSI Buyer, LP and, solely for purposes of Section 13.17 thereof, the Company, as amended, supplemented,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the Notes that are due and payable on Interest Payment Dates falling on or prior to the Special Mandatory Redemption Date will be payable on such Interest Payment Dates to the registered holders as of the close of business on the relevant Regular Record Dates in accordance with the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NSI Industries Acquisition, the foregoing provisions regarding the Special Mandatory Redemption will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u w:val="single"/>
        </w:rPr>
        <w:t>Articles 4</w:t>
      </w:r>
      <w:r>
        <w:rPr>
          <w:rFonts w:ascii="Times New Roman" w:hAnsi="Times New Roman"/>
          <w:sz w:val="20"/>
        </w:rPr>
        <w:t xml:space="preserve"> and </w:t>
      </w:r>
      <w:r>
        <w:rPr>
          <w:rFonts w:ascii="Times New Roman" w:hAnsi="Times New Roman"/>
          <w:sz w:val="20"/>
          <w:u w:val="single"/>
        </w:rPr>
        <w:t>15</w:t>
      </w:r>
      <w:r>
        <w:rPr>
          <w:rFonts w:ascii="Times New Roman" w:hAnsi="Times New Roman"/>
          <w:sz w:val="20"/>
        </w:rPr>
        <w:t xml:space="preserve"> of the Base Indenture (in each case, as modified by the Eighth Supplemental Indenture) will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occurs and is continuing, the principal of the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set forth therein, the transfer of the Notes is registrable in the Security Register. If this Note is presented or surrendered for registration of transfer or exchange, it shall (if so required by the Company and the Trustee) be duly endorsed, or accompanied by a written instrument of transfer in form satisfactory to the Company and the Trustee, duly executed, by the Holder hereof or his attorney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be issued in Dollars and only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payable by the Holder for any registration of transfer or exchange of this Note except as provided in </w:t>
      </w:r>
      <w:r>
        <w:rPr>
          <w:rFonts w:ascii="Times New Roman" w:hAnsi="Times New Roman"/>
          <w:sz w:val="20"/>
          <w:u w:val="single"/>
        </w:rPr>
        <w:t>Section 3.04(b)</w:t>
      </w:r>
      <w:r>
        <w:rPr>
          <w:rFonts w:ascii="Times New Roman" w:hAnsi="Times New Roman"/>
          <w:sz w:val="20"/>
        </w:rPr>
        <w:t xml:space="preserve"> or </w:t>
      </w:r>
      <w:r>
        <w:rPr>
          <w:rFonts w:ascii="Times New Roman" w:hAnsi="Times New Roman"/>
          <w:sz w:val="20"/>
          <w:u w:val="single"/>
        </w:rPr>
        <w:t>3.06</w:t>
      </w:r>
      <w:r>
        <w:rPr>
          <w:rFonts w:ascii="Times New Roman" w:hAnsi="Times New Roman"/>
          <w:sz w:val="20"/>
        </w:rPr>
        <w:t xml:space="preserve"> of the Indenture. The Company may require payment of a sum sufficient to cover any tax or other governmental charge that may be imposed in connection with any registration of transfer or exchange of this Note, other than those expressly provided in the Indenture to be made at the Company’s own expense or without expense or without charge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principal and interest payments on the Notes represented by this Note to the Paying Agent which in turn will make payment to DTC or its nominee, as the case may be, as the sole registered owner and the sole Holder of the Notes represented by this Note for all purposes under the Indenture. So long as DTC or its nominee is the registered owner of this Note, DTC or its nominee, as the case may be, will be considered the sole owner and Holder of the Notes represented by this Note for all purposes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but not defined, in this Note shall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A-3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b/>
          <w:i/>
          <w:sz w:val="20"/>
        </w:rPr>
        <w:t>To be included in Global Notes</w:t>
      </w:r>
      <w:r>
        <w:rPr>
          <w:rFonts w:ascii="Times New Roman" w:hAnsi="Times New Roman"/>
          <w:sz w:val="20"/>
        </w:rPr>
        <w:t xml:space="preserve"> — </w:t>
      </w:r>
      <w:r>
        <w:rPr>
          <w:rFonts w:ascii="Times New Roman" w:hAnsi="Times New Roman"/>
          <w:b/>
          <w:sz w:val="20"/>
        </w:rPr>
        <w:t xml:space="preserve">THIS NOTE IS A GLOBAL NOTE WITHIN THE MEANING OF THE INDENTURE HEREINAFTER REFERRED TO AND IS REGISTERED IN THE NAME OF A U.S. DEPOSITARY OR A NOMINEE THEREOF. THIS NOTE MAY NOT BE EXCHANGED IN WHOLE OR IN PART FOR A NOTE REGISTERED, AND NO TRANSFER OF THIS NOTE IN WHOLE OR IN PART MAY BE REGISTERED, IN THE NAME OF ANY PERSON OTHER THAN SUCH U.S. DEPOSITARY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HUBBELL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5.150% Senior Notes due 2036 </w:t>
      </w:r>
    </w:p>
    <w:p>
      <w:pPr>
        <w:pStyle w:val="TextBody"/>
        <w:bidi w:val="0"/>
        <w:spacing w:before="240" w:after="0"/>
        <w:jc w:val="right"/>
        <w:rPr>
          <w:rFonts w:ascii="Times New Roman" w:hAnsi="Times New Roman"/>
          <w:sz w:val="20"/>
        </w:rPr>
      </w:pPr>
      <w:r>
        <w:rPr>
          <w:rFonts w:ascii="Times New Roman" w:hAnsi="Times New Roman"/>
          <w:sz w:val="20"/>
        </w:rPr>
        <w:t xml:space="preserve">CUSIP: 443510 AP7 </w:t>
      </w:r>
    </w:p>
    <w:p>
      <w:pPr>
        <w:pStyle w:val="TextBody"/>
        <w:bidi w:val="0"/>
        <w:spacing w:before="0" w:after="0"/>
        <w:jc w:val="right"/>
        <w:rPr>
          <w:rFonts w:ascii="Times New Roman" w:hAnsi="Times New Roman"/>
          <w:sz w:val="20"/>
        </w:rPr>
      </w:pPr>
      <w:r>
        <w:rPr>
          <w:rFonts w:ascii="Times New Roman" w:hAnsi="Times New Roman"/>
          <w:sz w:val="20"/>
        </w:rPr>
        <w:t xml:space="preserve">ISIN: US443510AP71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2"/>
        <w:gridCol w:w="4897"/>
      </w:tblGrid>
      <w:tr>
        <w:trPr/>
        <w:tc>
          <w:tcPr>
            <w:tcW w:w="5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No. R[ ]</w:t>
            </w:r>
          </w:p>
        </w:tc>
        <w:tc>
          <w:tcPr>
            <w:tcW w:w="122"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U.S. $[     ]</w:t>
            </w:r>
          </w:p>
        </w:tc>
      </w:tr>
    </w:tbl>
    <w:p>
      <w:pPr>
        <w:pStyle w:val="TextBody"/>
        <w:bidi w:val="0"/>
        <w:spacing w:before="240" w:after="0"/>
        <w:jc w:val="left"/>
        <w:rPr>
          <w:rFonts w:ascii="Times New Roman" w:hAnsi="Times New Roman"/>
          <w:sz w:val="20"/>
        </w:rPr>
      </w:pPr>
      <w:r>
        <w:rPr>
          <w:rFonts w:ascii="Times New Roman" w:hAnsi="Times New Roman"/>
          <w:sz w:val="20"/>
        </w:rPr>
        <w:t>Hubbell Incorporated, a corporation duly organized and existing under the laws of the State of Connecticut (herein called the “</w:t>
      </w:r>
      <w:r>
        <w:rPr>
          <w:rFonts w:ascii="Times New Roman" w:hAnsi="Times New Roman"/>
          <w:b/>
          <w:sz w:val="20"/>
        </w:rPr>
        <w:t>Company</w:t>
      </w:r>
      <w:r>
        <w:rPr>
          <w:rFonts w:ascii="Times New Roman" w:hAnsi="Times New Roman"/>
          <w:sz w:val="20"/>
        </w:rPr>
        <w:t>,” which term includes any person that succeeds thereto, and is substituted therefor, under the terms of the Indenture hereinafter referred to), for value received, hereby promises to pay to Cede &amp; Co. or registered assigns, the principal sum of [    ] ($[    ]) on June 15, 2036 (the “</w:t>
      </w:r>
      <w:r>
        <w:rPr>
          <w:rFonts w:ascii="Times New Roman" w:hAnsi="Times New Roman"/>
          <w:b/>
          <w:sz w:val="20"/>
        </w:rPr>
        <w:t>Stated Maturity Date</w:t>
      </w:r>
      <w:r>
        <w:rPr>
          <w:rFonts w:ascii="Times New Roman" w:hAnsi="Times New Roman"/>
          <w:sz w:val="20"/>
        </w:rPr>
        <w:t>”). This Note will bear interest at the rate of 5.150% per annum from June 8, 2026. Interest on this Note will be payable semi-annually in arrears on June 15 and December 15 of each year (each, an “</w:t>
      </w:r>
      <w:r>
        <w:rPr>
          <w:rFonts w:ascii="Times New Roman" w:hAnsi="Times New Roman"/>
          <w:b/>
          <w:sz w:val="20"/>
        </w:rPr>
        <w:t>Interest Payment Date</w:t>
      </w:r>
      <w:r>
        <w:rPr>
          <w:rFonts w:ascii="Times New Roman" w:hAnsi="Times New Roman"/>
          <w:sz w:val="20"/>
        </w:rPr>
        <w:t>”), beginning on December 15, 2026, to the Person in whose name this Note is registered at the close of business on the June 1 and December 1 (whether or not a Business Day) preceding the relevant Interest Payment Date (the “</w:t>
      </w:r>
      <w:r>
        <w:rPr>
          <w:rFonts w:ascii="Times New Roman" w:hAnsi="Times New Roman"/>
          <w:b/>
          <w:sz w:val="20"/>
        </w:rPr>
        <w:t>Regular Record Date</w:t>
      </w:r>
      <w:r>
        <w:rPr>
          <w:rFonts w:ascii="Times New Roman" w:hAnsi="Times New Roman"/>
          <w:sz w:val="20"/>
        </w:rPr>
        <w:t xml:space="preserve">”). If any Interest Payment Date is not a Business Day, then payment will be made on the next succeeding Business Day, but without any additional interest or other amount. Interest payable on any Interest Payment Date (and the Stated Maturity Date) shall be the amount of interest accrued from, and including, the immediately preceding Interest Payment Date in respect of which interest has been paid or duly provided for (or from and including the date hereof, if no interest has previously been paid or duly provided for with respect to this Note) to, but excluding, such Interest Payment Date (or the Stated Maturity Date). Interest on the Notes will be computed on the basis of a 360-day year consisting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premium, if any, on and interest on this Note shall be payable in Dollars, the transfer of this Note shall be registrable, and this Note shall be exchangeable for Notes of a like aggregate principal amount, at the office or agency of the Company maintained for such purpose, which shall initially be the office or agency of the Trustee in Hartford, Connecticut; </w:t>
      </w:r>
      <w:r>
        <w:rPr>
          <w:rFonts w:ascii="Times New Roman" w:hAnsi="Times New Roman"/>
          <w:i/>
          <w:sz w:val="20"/>
        </w:rPr>
        <w:t>provided</w:t>
      </w:r>
      <w:r>
        <w:rPr>
          <w:rFonts w:ascii="Times New Roman" w:hAnsi="Times New Roman"/>
          <w:sz w:val="20"/>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pay principal of, premium, if any, on, and interest on, this Note in global form registered in the name of or held by DTC or such other U.S. Depositary as any officer of the Company may from time to time designate, or its respective nominee, by wire in immediately available funds to DTC (or such other U.S. Depositary) or its nominee, as the case may be, as the Holder of this Note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HUBBELL INCORPORATED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 Jonathon B. Murphy</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Attest: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 </w:t>
            </w:r>
          </w:p>
        </w:tc>
      </w:tr>
      <w:tr>
        <w:trPr/>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 Katherine A. Lane</w:t>
            </w:r>
          </w:p>
        </w:tc>
      </w:tr>
      <w:tr>
        <w:trPr/>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General Counsel and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i/>
          <w:sz w:val="20"/>
        </w:rPr>
      </w:pPr>
      <w:r>
        <w:rPr>
          <w:rFonts w:ascii="Times New Roman" w:hAnsi="Times New Roman"/>
          <w:i/>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Debt Securities of a series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Reverse of Note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series of Debt Securities of the Company designated the “5.150% Senior Notes due 2036” (herein called the “</w:t>
      </w:r>
      <w:r>
        <w:rPr>
          <w:rFonts w:ascii="Times New Roman" w:hAnsi="Times New Roman"/>
          <w:b/>
          <w:sz w:val="20"/>
        </w:rPr>
        <w:t>Note</w:t>
      </w:r>
      <w:r>
        <w:rPr>
          <w:rFonts w:ascii="Times New Roman" w:hAnsi="Times New Roman"/>
          <w:sz w:val="20"/>
        </w:rPr>
        <w:t>” or the “</w:t>
      </w:r>
      <w:r>
        <w:rPr>
          <w:rFonts w:ascii="Times New Roman" w:hAnsi="Times New Roman"/>
          <w:b/>
          <w:sz w:val="20"/>
        </w:rPr>
        <w:t>Notes</w:t>
      </w:r>
      <w:r>
        <w:rPr>
          <w:rFonts w:ascii="Times New Roman" w:hAnsi="Times New Roman"/>
          <w:sz w:val="20"/>
        </w:rPr>
        <w:t>,” as the case may be), issued and to be issued under an Indenture, dated as of September 15, 1995 (the “</w:t>
      </w:r>
      <w:r>
        <w:rPr>
          <w:rFonts w:ascii="Times New Roman" w:hAnsi="Times New Roman"/>
          <w:b/>
          <w:sz w:val="20"/>
        </w:rPr>
        <w:t>Base Indenture</w:t>
      </w:r>
      <w:r>
        <w:rPr>
          <w:rFonts w:ascii="Times New Roman" w:hAnsi="Times New Roman"/>
          <w:sz w:val="20"/>
        </w:rPr>
        <w:t>”), between the Company and Chemical Bank (as predecessor trustee to The Bank of New York Mellon Trust Company, N.A.), as trustee, as heretofore supplemented and as amended and supplemented by the Eighth Supplemental Indenture, dated as of June 8, 2026 (the “</w:t>
      </w:r>
      <w:r>
        <w:rPr>
          <w:rFonts w:ascii="Times New Roman" w:hAnsi="Times New Roman"/>
          <w:b/>
          <w:sz w:val="20"/>
        </w:rPr>
        <w:t>Eighth Supplemental Indenture</w:t>
      </w:r>
      <w:r>
        <w:rPr>
          <w:rFonts w:ascii="Times New Roman" w:hAnsi="Times New Roman"/>
          <w:sz w:val="20"/>
        </w:rPr>
        <w:t>”, and the Base Indenture as heretofore supplemented and as amended and supplemented by the Eighth Supplemental Indenture, the “</w:t>
      </w:r>
      <w:r>
        <w:rPr>
          <w:rFonts w:ascii="Times New Roman" w:hAnsi="Times New Roman"/>
          <w:b/>
          <w:sz w:val="20"/>
        </w:rPr>
        <w:t>Indenture</w:t>
      </w:r>
      <w:r>
        <w:rPr>
          <w:rFonts w:ascii="Times New Roman" w:hAnsi="Times New Roman"/>
          <w:sz w:val="20"/>
        </w:rPr>
        <w:t>”), between the Company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Reference is hereby made to the Indenture for a statement of the respective rights, limitations of rights, duties and immunities thereunder of the Company, the Trustee and the Holders of the Notes, and of the terms upon which the Notes are, and are to be, authenticated and delivered. </w:t>
      </w:r>
    </w:p>
    <w:p>
      <w:pPr>
        <w:pStyle w:val="TextBody"/>
        <w:bidi w:val="0"/>
        <w:spacing w:before="36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The Notes will be redeemable in whole or in part, at the Company’s option, at any time and from time to time prior to March 15, 2036 (three months prior to the Stated Maturity Date) (such date, the “</w:t>
      </w:r>
      <w:r>
        <w:rPr>
          <w:rFonts w:ascii="Times New Roman" w:hAnsi="Times New Roman"/>
          <w:b/>
          <w:sz w:val="20"/>
        </w:rPr>
        <w:t>Par Call Date</w:t>
      </w:r>
      <w:r>
        <w:rPr>
          <w:rFonts w:ascii="Times New Roman" w:hAnsi="Times New Roman"/>
          <w:sz w:val="20"/>
        </w:rPr>
        <w:t>”) at a Redemption Price equal to the greater of (the “</w:t>
      </w:r>
      <w:r>
        <w:rPr>
          <w:rFonts w:ascii="Times New Roman" w:hAnsi="Times New Roman"/>
          <w:b/>
          <w:sz w:val="20"/>
        </w:rPr>
        <w:t>Applicable Premium</w:t>
      </w:r>
      <w:r>
        <w:rPr>
          <w:rFonts w:ascii="Times New Roman" w:hAnsi="Times New Roman"/>
          <w:sz w:val="20"/>
        </w:rPr>
        <w:t xml:space="preserve">”) (a) 100% of the principal amount of the Notes to be redeemed and (b) the sum of the present values of the remaining scheduled payments of principal and interest thereon from the Redemption Date to the Par Call Date (assuming for such purpose that the Notes matured on the Par Call Date and not including any portion of such payments of interest accrued as of the Redemption Date) discounted to the Redemption Date on a semi-annual basis (assuming a 360-day year consisting of twelve 30-day months) at the Treasury Rate (as defined below), plus 15 basis points, plus, in each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at the Company’s option, at any time and from time to time on or after the Par Call Date at a Redemption Price equal to 100% of the principal amount of the Notes to be redeemed, plus accrued and unpaid interest, if any,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Further, installments of interest on any Notes to be optionally redeemed that are due and payable on Interest Payment Dates falling on or prior to a Redemption Date will be payable on the applicable Interest Payment Date to the Holders of the Notes as of the close of business on the relevant Regular Record Date according to such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delivered electronically if the Notes are held by DTC in accordance with DTC’s customary procedures, not less than 10 days and not more than 60 days prior to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notice of any redemption may, at the Company’s discretion, be subject to one or more conditions precedent, including, but not limited to, completion of any equity offering or Change of Control, issuance of indebtedness or other transaction or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any change to the timing set forth in the original notice of redemption will be given prior to the Redemption Date and in accordance with DTC’s applicable procedures. The Redemption Date may be delayed until such time (including more than 60 days after the date the notice of redemption was mailed or delivered, including by electronic transmission) as any or all such conditions shall be satisfied (or waived by the Company in its sole discretion) and notice of any redemption may be rescinded at any time if the Company determines in its sole discretion that any or all of such conditions will not be satisfied (or waived). The Company may provide in such notice that payment of the applicable Redemption Price and the performance of its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from and after the Redemption Date, interest will cease to accrue on the Notes or portions thereof called for redemption. If less than all of the Notes are to be redeemed, the Notes to be redeemed will be selected by the Trustee by a method that the Trustee deems to be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optional redemption provisions, the following term is applicable: </w:t>
      </w:r>
    </w:p>
    <w:p>
      <w:pPr>
        <w:pStyle w:val="TextBody"/>
        <w:bidi w:val="0"/>
        <w:spacing w:before="12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(a) The Treasury Rate applicable to the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applicable Treasury Rate, the Company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on the second Business Day preceding such Redemption Date. In determining the Treasury Rate in accordance with the terms of this paragraph, the semi-annual yield to maturity of the applicable United States Treasury security shall be based upon the average of the bid and asked prices (expressed as a percentage of principal amount, and rounded to three decimal places) of such United States Treasury security at 11:00 a.m., New York City time, on the second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execute, and the Trustee shall authenticate and deliver to the Holder of this Note without service charge, a new Note or Notes, of like tenor and form, of any authorized denomination as requested by such Holder in aggregate principal amount equal to and in exchange for the unredeemed portion of the principal of this Note so surrendered. </w:t>
      </w:r>
    </w:p>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unless the Company has (a) exercised its option to redeem the Notes as described above under “Optional Redemption”, (b) become required to redeem the Notes as described below under “Special Mandatory Redemption” or (c) defeased the Notes pursuant to </w:t>
      </w:r>
      <w:r>
        <w:rPr>
          <w:rFonts w:ascii="Times New Roman" w:hAnsi="Times New Roman"/>
          <w:sz w:val="20"/>
          <w:u w:val="single"/>
        </w:rPr>
        <w:t>Article Fifteen</w:t>
      </w:r>
      <w:r>
        <w:rPr>
          <w:rFonts w:ascii="Times New Roman" w:hAnsi="Times New Roman"/>
          <w:sz w:val="20"/>
        </w:rPr>
        <w:t xml:space="preserve"> of the Base Indenture (as modified by the Eighth Supplemental Indenture), the Company will be required to make an offer (a “</w:t>
      </w:r>
      <w:r>
        <w:rPr>
          <w:rFonts w:ascii="Times New Roman" w:hAnsi="Times New Roman"/>
          <w:b/>
          <w:sz w:val="20"/>
        </w:rPr>
        <w:t>Change of Control Offer</w:t>
      </w:r>
      <w:r>
        <w:rPr>
          <w:rFonts w:ascii="Times New Roman" w:hAnsi="Times New Roman"/>
          <w:sz w:val="20"/>
        </w:rPr>
        <w:t>”) to each Holder of the Notes to repurchase all or any part (equal to $2,000 or an integral multiple of $1,000 in excess thereof) of each Holder’s Notes in the manner and on the terms set forth herein. In a Change of Control Offer, the Company will be required to offer payment in cash equal to 101% of the aggregate principal amount of Notes repurchased, plus accrued and unpaid interest, if any, on the Notes repurchased to, but excluding, the repurchase date (a “</w:t>
      </w:r>
      <w:r>
        <w:rPr>
          <w:rFonts w:ascii="Times New Roman" w:hAnsi="Times New Roman"/>
          <w:b/>
          <w:sz w:val="20"/>
        </w:rPr>
        <w:t>Change of Control Payment</w:t>
      </w:r>
      <w:r>
        <w:rPr>
          <w:rFonts w:ascii="Times New Roman" w:hAnsi="Times New Roman"/>
          <w:sz w:val="20"/>
        </w:rPr>
        <w:t>”). Within 30 days following any Change of Control Triggering Event or, at the Company’s option, prior to any Change of Control, but after public announcement of the transaction that constitutes or may constitute the Change of Control, a notice will be mailed to the trustee and mailed, or delivered electronically if the Notes are held by DTC in accordance with DTC’s customary procedures, to Holders of Notes, describing the transaction that constitutes or may constitute the Change of Control Triggering Event and offering to repurchase such Notes on the repurchase date specified in the applicable notice, which date will be no earlier than 15 days and (except to the extent that such notice is conditioned on the occurrence of the Change of Control Triggering Event) no later than 60 days from the date on which such notice is mailed (or delivered electronically) to the Holders of Notes, which date, in a notice conditioned on the occurrence of a Change of Control Triggering Event, may be designated by reference to the date that such condition is satisfied, rather than a specific date (a “</w:t>
      </w:r>
      <w:r>
        <w:rPr>
          <w:rFonts w:ascii="Times New Roman" w:hAnsi="Times New Roman"/>
          <w:b/>
          <w:sz w:val="20"/>
        </w:rPr>
        <w:t>Change of Control Payment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On each Change of Control Payment Date, the Company will, to the extent lawful: (a) accept for payment all Notes or portions of Notes properly tendered pursuant to the applicable Change of Control Offer, (b) deposit with the Paying Agent an amount equal to the Change of Control Payment in respect of all Notes or portions of Notes properly tendered pursuant to the applicable Change of Control Offer, and (c) deliver or cause to be delivered to the Trustee the Notes properly accepted together with an Officers’ Certificate stating the aggregate principal amount of Notes or portions of Notes being repurchased.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 Change of Control Offer upon the occurrence of a Change of Control Triggering Event if a third party makes such an offer in the manner, at the times and otherwise in compliance with the requirements for an offer made by the Company, and such third party purchases all Notes properly tendered and not withdrawn under its offer. In addition, the Company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required to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the Company will comply with such securities laws and regulations and will not be deemed to have breached the Company’s obligations under the Change of Control Offer provisions of the Notes by virtue of any such conflict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Change of Control Offer provisions, the following terms are applicable: </w:t>
      </w:r>
    </w:p>
    <w:p>
      <w:pPr>
        <w:pStyle w:val="TextBody"/>
        <w:bidi w:val="0"/>
        <w:spacing w:before="12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 the direct or indirect sale, lease, transfer, conveyance or other disposition (other than by way of merger or consolidation), in one or more series of related transactions, of all or substantially all of the Company’s assets and its subsidiaries’ assets, taken as a whole, to any person, other than the Company or one of its subsidiaries; </w:t>
      </w:r>
      <w:r>
        <w:rPr>
          <w:rFonts w:ascii="Times New Roman" w:hAnsi="Times New Roman"/>
          <w:i/>
          <w:sz w:val="20"/>
        </w:rPr>
        <w:t>provided</w:t>
      </w:r>
      <w:r>
        <w:rPr>
          <w:rFonts w:ascii="Times New Roman" w:hAnsi="Times New Roman"/>
          <w:sz w:val="20"/>
        </w:rPr>
        <w:t xml:space="preserve">, that none of the circumstances in this clause (a) will be a Change of Control if the persons that beneficially own the Company’s Voting Stock immediately prior to the transaction own, directly or indirectly, Voting Stock of the transferee person representing a majority of the voting power of the transferee person’s Voting Stock immediately after giving effect to the transaction; (b) the consummation of any transaction (including, without limitation, any merger or consolidation) the result of which is that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that a person shall not be deemed a beneficial owner of, or to own beneficially, (i) any securities tendered pursuant to a tender or exchange offer made by or on behalf of such person or any of such person’s affiliates until such tendered securities are accepted for purchase or exchange thereunder or (ii) any securities if such beneficial ownership (A) arises solely as a result of a revocable proxy delivered in response to a proxy or consent solicitation made by the Company pursuant to the applicable rules and regulations under the Exchange Act and (B) is not also then reportable on Schedule 13D (or any successor schedule) under the Exchange Act; (c) 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measured by voting power rather than number of shares; (d) the first day on which a majority of the members of the Company’s Board of Directors are not Continuing Directors; or (e) the adoption of a plan relating to the liquidation or dissolution of the Company. Notwithstanding the foregoing, a transaction will not be deemed to involve a Change of Control if (a) the Company becomes a direct or indirect wholly-owned subsidiary of a holding company or other person and (b)(1) the direct or indirect holders of the Voting Stock of such holding company or such other person immediately following that transaction are substantially the same as the holders of the Company’s Voting Stock immediately prior to that transaction or (2) immediately following that transaction no person (other than a holding company or other person satisfying the requirements of this sentence) is the beneficial owner, directly or indirectly, of more than 50% of the Voting Stock of such holding company or such other person. As used in this definition, the term “</w:t>
      </w:r>
      <w:r>
        <w:rPr>
          <w:rFonts w:ascii="Times New Roman" w:hAnsi="Times New Roman"/>
          <w:b/>
          <w:sz w:val="20"/>
        </w:rPr>
        <w:t>person</w:t>
      </w:r>
      <w:r>
        <w:rPr>
          <w:rFonts w:ascii="Times New Roman" w:hAnsi="Times New Roman"/>
          <w:sz w:val="20"/>
        </w:rPr>
        <w:t xml:space="preserve">” has the meaning given thereto in Section 13(d)(3) of the Exchange Act.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Continuing Directors</w:t>
      </w:r>
      <w:r>
        <w:rPr>
          <w:rFonts w:ascii="Times New Roman" w:hAnsi="Times New Roman"/>
          <w:sz w:val="20"/>
        </w:rPr>
        <w:t xml:space="preserve">” means, as of any date of determination, any member of the Company’s Board of Directors who (a) was a member of such Board of Directors on the date the Notes were issued or (b)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equal to or higher than Baa3 (or the equivalent) by Moody’s and BBB- (or the equivalent) by S&amp;P, and the equivalent Investment Grade credit rating from any replacement Rating Agency or Rating Agencies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Rating Agencies</w:t>
      </w:r>
      <w:r>
        <w:rPr>
          <w:rFonts w:ascii="Times New Roman" w:hAnsi="Times New Roman"/>
          <w:sz w:val="20"/>
        </w:rPr>
        <w:t xml:space="preserve">” means (a) each of Moody’s and S&amp;P; and (b) if any of Moody’s or S&amp;P ceases to rate the Notes or fails to make a rating of the Notes publicly available for reasons outside of the Company’s control, a “nationally recognized statistical rating organization” as defined under Section 3(a)(62) of the Exchange Act selected by the Company (as certified by a Board Resolution) as a replacement agency for Moody’s or S&amp;P, or both of them, as the case may be. </w:t>
      </w:r>
    </w:p>
    <w:p>
      <w:pPr>
        <w:pStyle w:val="TextBody"/>
        <w:bidi w:val="0"/>
        <w:spacing w:before="240" w:after="0"/>
        <w:jc w:val="left"/>
        <w:rPr/>
      </w:pPr>
      <w:r>
        <w:rPr/>
        <w:t>“</w:t>
      </w:r>
      <w:r>
        <w:rPr>
          <w:rFonts w:ascii="Times New Roman" w:hAnsi="Times New Roman"/>
          <w:b/>
          <w:sz w:val="20"/>
        </w:rPr>
        <w:t>Rating Event</w:t>
      </w:r>
      <w:r>
        <w:rPr>
          <w:rFonts w:ascii="Times New Roman" w:hAnsi="Times New Roman"/>
          <w:sz w:val="20"/>
        </w:rPr>
        <w:t xml:space="preserve">” means the rating on the Notes is lowered by both Rating Agencies and the Notes are rated below Investment Grade by both Rating Agencies, in any case on any day during the period (which period will be extended so long as the rating of the Notes is under publicly announced consideration for a possible downgrade by either of the Rating Agencies) commencing upon the earlier of (a) the first public notice of the occurrence of a Change of Control or (b) the first public notice of the Company’s intention to effect a Change of Control, and in each case, ending 60 days following the consummation of the Change of Control, and the rating on the Notes is not, within such period, subsequently upgraded by both Rating Agencies to an Investment Grade rating. However, a Rating Event otherwise arising by virtue of a particular reduction in rating shall not be deemed to have occurred in respect of a particular Change of Control (and thus shall not be deemed a Change of Control Triggering Event for purposes of the definition of Change of Control Triggering Event) if the Rating Agencies making the reduction in rating to which this definition would otherwise apply do not announce or publicly confirm or inform a Responsible Officer of the Trustee in writing at the Company’s request that the reduction was the result, in whole or in part, of any event or circumstance comprised of or arising as a result of, or in respect of, the applicable Change of Control.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with respect to any specified “person” (as that term is used in Section 13(d)(3) of the Exchange Act) as of any date, the capital stock or other equity interests of such person that is at the time entitled to vote generally in the election of the Board of Directors of such person.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In the event that (x) the NSI Industries Acquisition is not consummated on or prior to the date that is five (5) Business Days after the later of (i) May 1, 2027 or (ii) any later date as the parties to the Purchase Agreement may agree as the “Outside Date” thereunder or (y) the Company notifies the trustee in writing that it will not pursue the consummation of the NSI Industries Acquisition (any such event being a “</w:t>
      </w:r>
      <w:r>
        <w:rPr>
          <w:rFonts w:ascii="Times New Roman" w:hAnsi="Times New Roman"/>
          <w:b/>
          <w:sz w:val="20"/>
        </w:rPr>
        <w:t>Special Mandatory Redemption Event</w:t>
      </w:r>
      <w:r>
        <w:rPr>
          <w:rFonts w:ascii="Times New Roman" w:hAnsi="Times New Roman"/>
          <w:sz w:val="20"/>
        </w:rPr>
        <w:t>”), the Company will be required to redeem the Notes then outstanding (such redemption, the “</w:t>
      </w:r>
      <w:r>
        <w:rPr>
          <w:rFonts w:ascii="Times New Roman" w:hAnsi="Times New Roman"/>
          <w:b/>
          <w:sz w:val="20"/>
        </w:rPr>
        <w:t>Special Mandatory Redemption</w:t>
      </w:r>
      <w:r>
        <w:rPr>
          <w:rFonts w:ascii="Times New Roman" w:hAnsi="Times New Roman"/>
          <w:sz w:val="20"/>
        </w:rPr>
        <w:t>”) at a redemption price equal to 101% of the aggregate principal amount of the Notes plus accrued and unpaid interest, if any, to, but excluding, the Special Mandatory Redemption Date (as defined below) (the “</w:t>
      </w:r>
      <w:r>
        <w:rPr>
          <w:rFonts w:ascii="Times New Roman" w:hAnsi="Times New Roman"/>
          <w:b/>
          <w:sz w:val="20"/>
        </w:rPr>
        <w:t>Special Mandatory Redemption Price</w:t>
      </w:r>
      <w:r>
        <w:rPr>
          <w:rFonts w:ascii="Times New Roman" w:hAnsi="Times New Roman"/>
          <w:sz w:val="20"/>
        </w:rPr>
        <w:t xml:space="preserve">”). For purposes of the foregoing, the NSI Industries Acquisition will be deemed consummated if the closing under the Purchase Agreement occurs, including after giving effect to any amendments or modifications to the Purchase Agreement or waivers thereunder acceptable to the Company. The Company’s actions and determinations in determining the Special Mandatory Redemption Price for the Notes shall be conclusive and binding for all purposes, absent manifest error. The Trustee will not be responsible or liable for calculating, determining, confirming, or verifying the Special Mandatory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that the Company becomes obligated to redeem the Notes pursuant to the Special Mandatory Redemption, it will promptly, and in any event not more than ten (10) Business Days after the Special Mandatory Redemption Event, deliver notice to the Trustee of the Special Mandatory Redemption and the date upon which the Notes will be redeemed (the “</w:t>
      </w:r>
      <w:r>
        <w:rPr>
          <w:rFonts w:ascii="Times New Roman" w:hAnsi="Times New Roman"/>
          <w:b/>
          <w:sz w:val="20"/>
        </w:rPr>
        <w:t>Special Mandatory Redemption Date</w:t>
      </w:r>
      <w:r>
        <w:rPr>
          <w:rFonts w:ascii="Times New Roman" w:hAnsi="Times New Roman"/>
          <w:sz w:val="20"/>
        </w:rPr>
        <w:t xml:space="preserv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Notes. The Trustee will then reasonably promptly, in accordance with the Trustee’s and DTC’s (or any successor depositary’s) procedures, mail, or electronically deliver such notice of Special Mandatory Redemption to each registered holder of Notes. Unless the Company defaults in payment of the Special Mandatory Redemption Price of the Notes, on and after such Special Mandatory Redemption Date interest will cease to accrue on the Notes. </w:t>
      </w:r>
    </w:p>
    <w:p>
      <w:pPr>
        <w:pStyle w:val="TextBody"/>
        <w:bidi w:val="0"/>
        <w:spacing w:before="240" w:after="0"/>
        <w:jc w:val="left"/>
        <w:rPr/>
      </w:pPr>
      <w:r>
        <w:rPr/>
        <w:t>“</w:t>
      </w:r>
      <w:r>
        <w:rPr>
          <w:rFonts w:ascii="Times New Roman" w:hAnsi="Times New Roman"/>
          <w:b/>
          <w:sz w:val="20"/>
        </w:rPr>
        <w:t>NSI Industries Acquisition</w:t>
      </w:r>
      <w:r>
        <w:rPr>
          <w:rFonts w:ascii="Times New Roman" w:hAnsi="Times New Roman"/>
          <w:sz w:val="20"/>
        </w:rPr>
        <w:t xml:space="preserve">” means the acquisition of NSI Electrical Buyer, Inc. by the Company pursuant to the Purchase Agreement.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Stock Purchase Agreement, dated as of May 1, 2026, by and among Hubbell Incorporated (Delaware), NSI Electrical Buyer, Inc., NSI Buyer, LP and, solely for purposes of Section 13.17 thereof, the Company, as amended, supplemented,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the Notes that are due and payable on Interest Payment Dates falling on or prior to the Special Mandatory Redemption Date will be payable on such Interest Payment Dates to the registered holders as of the close of business on the relevant Regular Record Dates in accordance with the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NSI Industries Acquisition, the foregoing provisions regarding the Special Mandatory Redemption will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u w:val="single"/>
        </w:rPr>
        <w:t>Articles 4</w:t>
      </w:r>
      <w:r>
        <w:rPr>
          <w:rFonts w:ascii="Times New Roman" w:hAnsi="Times New Roman"/>
          <w:sz w:val="20"/>
        </w:rPr>
        <w:t xml:space="preserve"> and </w:t>
      </w:r>
      <w:r>
        <w:rPr>
          <w:rFonts w:ascii="Times New Roman" w:hAnsi="Times New Roman"/>
          <w:sz w:val="20"/>
          <w:u w:val="single"/>
        </w:rPr>
        <w:t>15</w:t>
      </w:r>
      <w:r>
        <w:rPr>
          <w:rFonts w:ascii="Times New Roman" w:hAnsi="Times New Roman"/>
          <w:sz w:val="20"/>
        </w:rPr>
        <w:t xml:space="preserve"> of the Base Indenture (in each case, as modified by the Eighth Supplemental Indenture) will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occurs and is continuing, the principal of the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set forth therein, the transfer of the Notes is registrable in the Security Register. If this Note is presented or surrendered for registration of transfer or exchange, it shall (if so required by the Company and the Trustee) be duly endorsed, or accompanied by a written instrument of transfer in form satisfactory to the Company and the Trustee, duly executed, by the Holder hereof or his attorney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be issued in Dollars and only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payable by the Holder for any registration of transfer or exchange of this Note except as provided in </w:t>
      </w:r>
      <w:r>
        <w:rPr>
          <w:rFonts w:ascii="Times New Roman" w:hAnsi="Times New Roman"/>
          <w:sz w:val="20"/>
          <w:u w:val="single"/>
        </w:rPr>
        <w:t>Section 3.04(b)</w:t>
      </w:r>
      <w:r>
        <w:rPr>
          <w:rFonts w:ascii="Times New Roman" w:hAnsi="Times New Roman"/>
          <w:sz w:val="20"/>
        </w:rPr>
        <w:t xml:space="preserve"> or </w:t>
      </w:r>
      <w:r>
        <w:rPr>
          <w:rFonts w:ascii="Times New Roman" w:hAnsi="Times New Roman"/>
          <w:sz w:val="20"/>
          <w:u w:val="single"/>
        </w:rPr>
        <w:t>3.06</w:t>
      </w:r>
      <w:r>
        <w:rPr>
          <w:rFonts w:ascii="Times New Roman" w:hAnsi="Times New Roman"/>
          <w:sz w:val="20"/>
        </w:rPr>
        <w:t xml:space="preserve"> of the Indenture. The Company may require payment of a sum sufficient to cover any tax or other governmental charge that may be imposed in connection with any registration of transfer or exchange of this Note, other than those expressly provided in the Indenture to be made at the Company’s own expense or without expense or without charge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principal and interest payments on the Notes represented by this Note to the Paying Agent which in turn will make payment to DTC or its nominee, as the case may be, as the sole registered owner and the sole Holder of the Notes represented by this Note for all purposes under the Indenture. So long as DTC or its nominee is the registered owner of this Note, DTC or its nominee, as the case may be, will be considered the sole owner and Holder of the Notes represented by this Note for all purposes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but not defined, in this Note shall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A-3-11 </w:t>
      </w:r>
    </w:p>
    <w:p>
      <w:pPr>
        <w:pStyle w:val="TextBody"/>
        <w:bidi w:val="0"/>
        <w:spacing w:before="0" w:after="0"/>
        <w:jc w:val="right"/>
        <w:rPr>
          <w:rFonts w:ascii="Times New Roman" w:hAnsi="Times New Roman"/>
          <w:b/>
          <w:sz w:val="20"/>
        </w:rPr>
      </w:pPr>
      <w:bookmarkStart w:id="6" w:name="d103727dex51.htm"/>
      <w:bookmarkStart w:id="7" w:name="ksd103727dex51"/>
      <w:bookmarkEnd w:id="6"/>
      <w:bookmarkEnd w:id="7"/>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Letterhead of Wachtell, Lipton, Rosen &amp; Katz</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June 8, 2026 </w:t>
      </w:r>
    </w:p>
    <w:p>
      <w:pPr>
        <w:pStyle w:val="TextBody"/>
        <w:bidi w:val="0"/>
        <w:spacing w:before="24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40 Waterview Drive </w:t>
      </w:r>
    </w:p>
    <w:p>
      <w:pPr>
        <w:pStyle w:val="TextBody"/>
        <w:bidi w:val="0"/>
        <w:spacing w:before="0" w:after="0"/>
        <w:jc w:val="left"/>
        <w:rPr>
          <w:rFonts w:ascii="Times New Roman" w:hAnsi="Times New Roman"/>
          <w:sz w:val="20"/>
        </w:rPr>
      </w:pPr>
      <w:r>
        <w:rPr>
          <w:rFonts w:ascii="Times New Roman" w:hAnsi="Times New Roman"/>
          <w:sz w:val="20"/>
        </w:rPr>
        <w:t xml:space="preserve">Shelton, CT 06484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Hubbell Incorporated Current Report on Form 8-K filed on June 8,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outside counsel to Hubbell Incorporated, a Connecticut corporation (the “Company”), in connection with the sale by the Company to the Underwriters (as defined below) pursuant to the Underwriting Agreement, dated June 2, 2026 (the “Underwriting Agreement”) between the Company and the Underwriters listed in Schedule I of the Underwriting Agreement (the “Underwriters”), pursuant to the Registration Statement on Form S-3ASR (File No. 333-289041) (the “Registration Statement”) of $500 million aggregate principal amount of 4.650% notes due 2031 (the “2031 Notes”), $700 million aggregate principal amount of 4.900% notes due 2033 (the “2033 Notes”), and $700 million aggregate principal amount of 5.150% notes due 2036 (the “2036 Notes,” and together with the 2031 Notes and the 2033 Notes, the “Notes”), issued under the Indenture dated as of September 15, 1995 (the “Base Indenture”) between the Company and The Bank of New York Mellon Trust Company, N.A. (formerly known as The Bank of New York Trust Company, N.A. (successor as trustee to JPMorgan Chase Bank, N.A. (formerly known as JPMorgan Chase Bank, formerly known as The Chase Manhattan Bank, formerly known as Chemical Bank))), as trustee, as amended and supplemented by the Eighth Supplemental Indenture, dated as of June 8, 2026 (the “Supplemental Indenture” and, together with the Base Indenture, the “Indenture”), between the Company and U.S. Bank Trust Company, National Association, as trustee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(b) the base prospectus, dated July 29, 2025, included in the Registration Statement, but excluding the documents incorporated therein; (c) the Preliminary Prospectus Supplement dated June 8, 2026, as filed with the Securities and Exchange Commission (the “Commission”) pursuant to Rule 424(b)(2) under the Securities Act of 1933 (the “Act”), but excluding the documents incorporated by reference therein; (d) the final term sheet dated June 2, 2026, as filed with the Commission pursuant to Rule 433 under the Act; (e) the Prospectus Supplement dated June 4, 2026, as filed with the Commission pursuant to Rule 424(b)(2) under the Act, but excluding the documents incorporated by reference therein; (f) a copy of the Amended and Restated Certificate of Incorporation of the Company and a copy of the amended and restated Bylaws of the Company, each as set forth in the certificate of the Secretary of the Company dated the date hereof; (g) the Indenture; (h) a copy of the Global Note (CUSIP No. 443510 AM4), represented by Certificate No. R-1, dated as of June 8, 2026; (i) a copy of the Global Note (CUSIP No. 443510 AN2), represented by Certificate No. R-1, dated as of June 8, 2026; (j) a copy of the Global Note (CUSIP No. 443510 AN2), represented by Certificate No. R-2, dated as of June 8, 2026; (k) a copy of the Global Note (CUSIP No. 443510 AP7), represented by Certificate No. R-1, dated as of June 8, 2026; (l) a copy of the Global Note (CUSIP No. 443510 AP7), represented by Certificate No. R-2, dated as of June 8, 2026; (m) an executed copy of the Underwriting Agreement; and (n) the resolutions of the Board of Directors of the Company relating to the issuance of the Notes.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agreements, records, documents, instruments and certificates we have reviewed; (iv) all Notes will be issued and sold in compliance with applicable federal and state securities laws and in the manner stated in the Registration Statement and the Prospectus Supplement; and (v) the Underwriting Agreement has been duly authorized and validly executed and delivered by the Underwriters. We also have assumed that the terms of the Notes have been established so as not to, and that the execution and delivery by the parties thereto and the performance of such parties’ obligations under the Notes will not, breach, contravene, violate, conflict with or constitute a default under (1) any law, rule or regulation to which any party thereto is subject (excepting the laws of the State of New York and the federal securities laws of the United States of America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Notes are the valid and legally binding obligation of the Trustee. As to any facts material to the opinions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documents submitted to us as certified, facsimile, conformed, electronic or photostatic copies, and the authenticity of the originals of such copies.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members of the Bar of the State of New York, and we have not considered, and we express no opinion as to, the laws of any jurisdiction other than the laws of the State of New York and the federal securities laws of the United States of America, in each case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set forth in this letter, we advise you that, in our opinion, the Notes, when duly executed, authenticated, issued, delivered and paid for in accordance with the terms of the Indenture and the Underwriting Agreement, will be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above is subject to the effects of (a) bankruptcy, insolvency, fraudulent conveyance, fraudulent transfer,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whether, or the extent to which, the laws of any particular jurisdiction apply to the subject matter hereof, including, without limitation, the enforceability of the governing law provision contained in the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(including a pandemic)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Insofar as the opinion expressed herein relates to or is dependent upon matters governed by the laws of the State of Connecticut, we have relied upon the opinion letter, dated the date hereof, of Robinson &amp; Cole LLP, which opinion letter is being filed as Exhibit 5.2 to the Company’s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This letter speaks only as of its date and is delivered in accordance with the requirements of Item 601(b)(5) of Regulation S-K under the Act. We hereby consent to the filing of a copy of this letter as an exhibit to the Company’s Current Report on Form 8-K, filed on June 8, 2026 and to the use of our name in the prospectus forming a part of the Registration Statement under the caption “Validity of Securities.” In giving this consent, we do not thereby admit that we are within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5"/>
        <w:gridCol w:w="182"/>
        <w:gridCol w:w="3495"/>
      </w:tblGrid>
      <w:tr>
        <w:trPr/>
        <w:tc>
          <w:tcPr>
            <w:tcW w:w="40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 Wachtell, Lipton, Rosen &amp; Katz</w:t>
            </w:r>
          </w:p>
        </w:tc>
      </w:tr>
    </w:tbl>
    <w:p>
      <w:pPr>
        <w:pStyle w:val="TextBody"/>
        <w:bidi w:val="0"/>
        <w:spacing w:before="0" w:after="0"/>
        <w:jc w:val="right"/>
        <w:rPr>
          <w:rFonts w:ascii="Times New Roman" w:hAnsi="Times New Roman"/>
          <w:b/>
          <w:sz w:val="20"/>
        </w:rPr>
      </w:pPr>
      <w:bookmarkStart w:id="8" w:name="d103727dex52.htm"/>
      <w:bookmarkStart w:id="9" w:name="ksd103727dex52"/>
      <w:bookmarkEnd w:id="8"/>
      <w:bookmarkEnd w:id="9"/>
      <w:r>
        <w:rPr>
          <w:rFonts w:ascii="Times New Roman" w:hAnsi="Times New Roman"/>
          <w:b/>
          <w:sz w:val="20"/>
        </w:rPr>
        <w:t xml:space="preserve">Exhibit 5.2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[Letterhead of Robinson &amp; Cole LLP] </w:t>
      </w:r>
    </w:p>
    <w:p>
      <w:pPr>
        <w:pStyle w:val="TextBody"/>
        <w:bidi w:val="0"/>
        <w:spacing w:before="240" w:after="0"/>
        <w:jc w:val="center"/>
        <w:rPr>
          <w:rFonts w:ascii="Times New Roman" w:hAnsi="Times New Roman"/>
          <w:sz w:val="20"/>
        </w:rPr>
      </w:pPr>
      <w:r>
        <w:rPr>
          <w:rFonts w:ascii="Times New Roman" w:hAnsi="Times New Roman"/>
          <w:sz w:val="20"/>
        </w:rPr>
        <w:t xml:space="preserve">June 8, 2026 </w:t>
      </w:r>
    </w:p>
    <w:p>
      <w:pPr>
        <w:pStyle w:val="TextBody"/>
        <w:bidi w:val="0"/>
        <w:spacing w:before="24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40 Waterview Drive </w:t>
      </w:r>
    </w:p>
    <w:p>
      <w:pPr>
        <w:pStyle w:val="TextBody"/>
        <w:bidi w:val="0"/>
        <w:spacing w:before="0" w:after="0"/>
        <w:jc w:val="left"/>
        <w:rPr>
          <w:rFonts w:ascii="Times New Roman" w:hAnsi="Times New Roman"/>
          <w:sz w:val="20"/>
        </w:rPr>
      </w:pPr>
      <w:r>
        <w:rPr>
          <w:rFonts w:ascii="Times New Roman" w:hAnsi="Times New Roman"/>
          <w:sz w:val="20"/>
        </w:rPr>
        <w:t xml:space="preserve">Shelton, Connecticut 06484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S-3 of Hubbell Incorporated </w:t>
            </w:r>
          </w:p>
        </w:tc>
      </w:tr>
    </w:tbl>
    <w:p>
      <w:pPr>
        <w:pStyle w:val="TextBody"/>
        <w:bidi w:val="0"/>
        <w:spacing w:before="0" w:after="0"/>
        <w:jc w:val="left"/>
        <w:rPr>
          <w:rFonts w:ascii="Times New Roman" w:hAnsi="Times New Roman"/>
          <w:sz w:val="20"/>
        </w:rPr>
      </w:pPr>
      <w:r>
        <w:rPr>
          <w:rFonts w:ascii="Times New Roman" w:hAnsi="Times New Roman"/>
          <w:sz w:val="20"/>
        </w:rPr>
        <w:t xml:space="preserve">Commission File No. 333-289041, $500,000,000 in Aggregate </w:t>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4.650% Senior Notes due 2031, $700,000,000 in Aggregate </w:t>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4.900% Senior Notes due 2033 and $700,000,000 in Aggregate </w:t>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5.150% Senior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Connecticut counsel to Hubbell Incorporated, a Connecticut corporation (the “</w:t>
      </w:r>
      <w:r>
        <w:rPr>
          <w:rFonts w:ascii="Times New Roman" w:hAnsi="Times New Roman"/>
          <w:sz w:val="20"/>
          <w:u w:val="single"/>
        </w:rPr>
        <w:t>Company</w:t>
      </w:r>
      <w:r>
        <w:rPr>
          <w:rFonts w:ascii="Times New Roman" w:hAnsi="Times New Roman"/>
          <w:sz w:val="20"/>
        </w:rPr>
        <w:t>”), in connection with the issuance and sale by the Company of $500,000,000 in aggregate principal amount of its 4.650% Senior Notes due 2031, $700,000,000 in aggregate principal amount of its 4.900% Senior Notes due 2033 and $700,000,000 in aggregate principal amount of its 5.150% Senior Notes due 2036 (collectively, the “</w:t>
      </w:r>
      <w:r>
        <w:rPr>
          <w:rFonts w:ascii="Times New Roman" w:hAnsi="Times New Roman"/>
          <w:sz w:val="20"/>
          <w:u w:val="single"/>
        </w:rPr>
        <w:t>Notes</w:t>
      </w:r>
      <w:r>
        <w:rPr>
          <w:rFonts w:ascii="Times New Roman" w:hAnsi="Times New Roman"/>
          <w:sz w:val="20"/>
        </w:rPr>
        <w:t>”) pursuant to a Registration Statement on Form S-3 under the Securities Act of 1933, as amended (including the rules and regulations promulgated thereunder, the “</w:t>
      </w:r>
      <w:r>
        <w:rPr>
          <w:rFonts w:ascii="Times New Roman" w:hAnsi="Times New Roman"/>
          <w:sz w:val="20"/>
          <w:u w:val="single"/>
        </w:rPr>
        <w:t>Act</w:t>
      </w:r>
      <w:r>
        <w:rPr>
          <w:rFonts w:ascii="Times New Roman" w:hAnsi="Times New Roman"/>
          <w:sz w:val="20"/>
        </w:rPr>
        <w:t>”), filed with the U.S. Securities and Exchange Commission (the “</w:t>
      </w:r>
      <w:r>
        <w:rPr>
          <w:rFonts w:ascii="Times New Roman" w:hAnsi="Times New Roman"/>
          <w:sz w:val="20"/>
          <w:u w:val="single"/>
        </w:rPr>
        <w:t>SEC</w:t>
      </w:r>
      <w:r>
        <w:rPr>
          <w:rFonts w:ascii="Times New Roman" w:hAnsi="Times New Roman"/>
          <w:sz w:val="20"/>
        </w:rPr>
        <w:t>”) on July 29, 2025 (File No. 333-289041) which registration statement became automatically effective under Rule 462(e) promulgated under the Act (as so filed and amended, the “</w:t>
      </w:r>
      <w:r>
        <w:rPr>
          <w:rFonts w:ascii="Times New Roman" w:hAnsi="Times New Roman"/>
          <w:sz w:val="20"/>
          <w:u w:val="single"/>
        </w:rPr>
        <w:t>Registration Statement</w:t>
      </w:r>
      <w:r>
        <w:rPr>
          <w:rFonts w:ascii="Times New Roman" w:hAnsi="Times New Roman"/>
          <w:sz w:val="20"/>
        </w:rPr>
        <w:t>”), a Prospectus, dated July 29, 2025, included as part of the Registration Statement at the time it originally became effective (the “</w:t>
      </w:r>
      <w:r>
        <w:rPr>
          <w:rFonts w:ascii="Times New Roman" w:hAnsi="Times New Roman"/>
          <w:sz w:val="20"/>
          <w:u w:val="single"/>
        </w:rPr>
        <w:t>Base Prospectus</w:t>
      </w:r>
      <w:r>
        <w:rPr>
          <w:rFonts w:ascii="Times New Roman" w:hAnsi="Times New Roman"/>
          <w:sz w:val="20"/>
        </w:rPr>
        <w:t>”), a preliminary Prospectus Supplement, dated June 2, 2026, filed with the SEC describing the Notes offered thereby (together with the Base Prospectus and a related pricing term sheet filed with the SEC as a free writing prospectus on June 2, 2026, the “</w:t>
      </w:r>
      <w:r>
        <w:rPr>
          <w:rFonts w:ascii="Times New Roman" w:hAnsi="Times New Roman"/>
          <w:sz w:val="20"/>
          <w:u w:val="single"/>
        </w:rPr>
        <w:t>Preliminary Prospectus</w:t>
      </w:r>
      <w:r>
        <w:rPr>
          <w:rFonts w:ascii="Times New Roman" w:hAnsi="Times New Roman"/>
          <w:sz w:val="20"/>
        </w:rPr>
        <w:t>”), and a final Prospectus Supplement, dated June 2, 2026, filed with the SEC (together with the Base Prospectus, the “</w:t>
      </w:r>
      <w:r>
        <w:rPr>
          <w:rFonts w:ascii="Times New Roman" w:hAnsi="Times New Roman"/>
          <w:sz w:val="20"/>
          <w:u w:val="single"/>
        </w:rPr>
        <w:t>Prospectus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issuance of the Notes.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letter, we have reviewed the Registration Statement, the Preliminary Prospectus, the Prospectus, the Indenture, dated as of September 15, 1995, by and between the Company and The Bank of New York Mellon Trust Company, N.A. (formerly known as The Bank of New York Trust Company, N.A. (successor as trustee to JPMorgan Chase Bank, N.A. (formerly known as JPMorgan Chase Bank, formerly known as The Chase Manhattan Bank, formerly known as Chemical Bank))), as trustee (the “</w:t>
      </w:r>
      <w:r>
        <w:rPr>
          <w:rFonts w:ascii="Times New Roman" w:hAnsi="Times New Roman"/>
          <w:sz w:val="20"/>
          <w:u w:val="single"/>
        </w:rPr>
        <w:t>Base Indenture</w:t>
      </w:r>
      <w:r>
        <w:rPr>
          <w:rFonts w:ascii="Times New Roman" w:hAnsi="Times New Roman"/>
          <w:sz w:val="20"/>
        </w:rPr>
        <w:t>”), as supplemented by the Eighth Supplemental Indenture, dated as of June 8, 2026, by and between the Company and U.S. Bank Trust Company, National Association, as trustee (the “</w:t>
      </w:r>
      <w:r>
        <w:rPr>
          <w:rFonts w:ascii="Times New Roman" w:hAnsi="Times New Roman"/>
          <w:sz w:val="20"/>
          <w:u w:val="single"/>
        </w:rPr>
        <w:t>Supplemental Indenture</w:t>
      </w:r>
      <w:r>
        <w:rPr>
          <w:rFonts w:ascii="Times New Roman" w:hAnsi="Times New Roman"/>
          <w:sz w:val="20"/>
        </w:rPr>
        <w:t>,” and the Base Indenture as amended and supplemented by the Supplemental Indenture, the “</w:t>
      </w:r>
      <w:r>
        <w:rPr>
          <w:rFonts w:ascii="Times New Roman" w:hAnsi="Times New Roman"/>
          <w:sz w:val="20"/>
          <w:u w:val="single"/>
        </w:rPr>
        <w:t>Indenture</w:t>
      </w:r>
      <w:r>
        <w:rPr>
          <w:rFonts w:ascii="Times New Roman" w:hAnsi="Times New Roman"/>
          <w:sz w:val="20"/>
        </w:rPr>
        <w:t>”), copies of the Global Notes representing the Notes, the Underwriting Agreement, dated June 2, 2026, among the Company and J.P. Morgan Securities LLC, BofA Securities, Inc. and HSBC Securities (USA) Inc., as representatives of the several underwriters listed on Schedule I thereto (the “</w:t>
      </w:r>
      <w:r>
        <w:rPr>
          <w:rFonts w:ascii="Times New Roman" w:hAnsi="Times New Roman"/>
          <w:sz w:val="20"/>
          <w:u w:val="single"/>
        </w:rPr>
        <w:t>Underwriting Agreement</w:t>
      </w:r>
      <w:r>
        <w:rPr>
          <w:rFonts w:ascii="Times New Roman" w:hAnsi="Times New Roman"/>
          <w:sz w:val="20"/>
        </w:rPr>
        <w:t xml:space="preserve">”), the Company’s Amended and Restated Certificate of Incorporation, the Company’s Amended and Restated By-Laws, and the resolutions adopted by the Board of Directors of the Company relating to the offer and sale of the Notes; and we have examined and relied upon originals, or copies, certified or otherwise identified to our satisfaction, of such records of the Company, certificates of public officials and such other documents and instruments, and have made such other examinations, as we have deemed necessary or appropriate to enable us to render the opinion set forth herein. As to certain questions of fact material to our opinion, we have relied, with your consent, upon statements in the Registration Statement, the Preliminary Prospectus, the Prospectus, the Underwriting Agreement, the Indenture, certificates of public officials and certificates and statements of officers of the Company and have made no independent investigation of such matters. We have assumed, with your consent, that any certificates of government officials dated prior to the date hereof are still effective and accurate as of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herein, we have assumed, with your consent, (a) the genuineness of all signatures, (b) the authenticity of all documents submitted to us as originals, (c) the conformity to original documents of all documents submitted to us as copies, (d) the authenticity of the originals of such latter documents, (e) the legal competence of all signatories to such documents, (f) each person signing in a representative capacity any document reviewed by us had authority to sign in such capacity, and (g) the truth, accuracy and completeness of the representations and warranties, statements and other information contained in the records, documents, instruments and certificates we have reviewed.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have assumed, with your consent, that the Base Indenture has been duly executed and delivered by, and is the valid, binding and enforceable obligation of, the parties thereto, is in full force and effect and has not been amended or modified in a manner that would affect the opinion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laws of the State of Connecticut. We express no opinion herein as to the laws of any other state or of the United States and express no opinion as to any federal or state securities or “blue sky” laws or regulations, including without limitation, the Trust Indenture Act of 1939, as amended. We express no opinion as to any state or federal laws or regulations applicable to the subject transactions because of the legal or regulatory status of the Company or any other parties to the documents referenced herein.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limitations and assumptions stated herein, we are of the opinion that the Company has taken all necessary corporate action to authorize the offering and sale of the Notes pursuant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based upon currently existing statutes, rules, regulations and judicial decisions. We express no opinion herein regarding the effect that any future event or change in circumstances would have on the opinion expressed herein, and we disclaim any obligation to advise you of any change in circumstances or any change in applicable law or the interpretation thereof or subsequent legal or factual developments which might affect any matters or the opinion set forth herein. Any such change in circumstances or in any applicable law, or the interpretation thereof, or in any information or assumptions upon which we have relied, or any inaccuracy of such information or assumptions, could affect the opinion expressed herein. We are opining only as to the matters expressly set forth herein, and no opinion, implied or otherwise, should be inferred as to any other matters. </w:t>
      </w:r>
    </w:p>
    <w:p>
      <w:pPr>
        <w:pStyle w:val="TextBody"/>
        <w:bidi w:val="0"/>
        <w:spacing w:before="240" w:after="0"/>
        <w:jc w:val="left"/>
        <w:rPr>
          <w:rFonts w:ascii="Times New Roman" w:hAnsi="Times New Roman"/>
          <w:sz w:val="20"/>
        </w:rPr>
      </w:pPr>
      <w:r>
        <w:rPr>
          <w:rFonts w:ascii="Times New Roman" w:hAnsi="Times New Roman"/>
          <w:sz w:val="20"/>
        </w:rPr>
        <w:t>This opinion letter is for your benefit in connection with the Registration Statement and may be relied upon by you and by persons entitled to rely upon it pursuant to the applicable provisions of the Act and may not be used or relied upon by you or any other person for any other purpose whatsoever without in each instance our prior written consent; provided that copies of this opinion letter may be furnished to your auditors, attorneys and to any person (including any governmental or regulatory body) to the extent required by applicable law, regulation or court order. Notwithstanding the foregoing, Wachtell, Lipton, Rosen &amp; Katz, in rendering its opinion to the Company, dated the date hereof, which opinion letter is being filed as an exhibit to the Company’s Current Report on Form 8-K, dated June 8, 2026 (the “</w:t>
      </w:r>
      <w:r>
        <w:rPr>
          <w:rFonts w:ascii="Times New Roman" w:hAnsi="Times New Roman"/>
          <w:sz w:val="20"/>
          <w:u w:val="single"/>
        </w:rPr>
        <w:t>Form 8-K</w:t>
      </w:r>
      <w:r>
        <w:rPr>
          <w:rFonts w:ascii="Times New Roman" w:hAnsi="Times New Roman"/>
          <w:sz w:val="20"/>
        </w:rPr>
        <w:t xml:space="preserve">”), may rely upon the opinion expressed herein, subject to all of the qualifications, limitations and assumptions herein, as if this letter were addressed directly to them.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June 8,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a copy of this opinion letter as an exhibit to the Form 8-K and to the reference to our firm contained in the Preliminary Prospectus and the Prospectus under the heading “Validity of Notes.” In giving such consent, we do not thereby admit that we are 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ROBINSON &amp; COLE LLP</w:t>
            </w:r>
          </w:p>
        </w:tc>
      </w:tr>
    </w:tbl>
    <w:p>
      <w:pPr>
        <w:pStyle w:val="TextBody"/>
        <w:bidi w:val="0"/>
        <w:spacing w:before="0" w:after="0"/>
        <w:jc w:val="right"/>
        <w:rPr>
          <w:rFonts w:ascii="Times New Roman" w:hAnsi="Times New Roman"/>
          <w:b/>
          <w:sz w:val="20"/>
        </w:rPr>
      </w:pPr>
      <w:bookmarkStart w:id="10" w:name="d103727dex991.htm"/>
      <w:bookmarkStart w:id="11" w:name="ksd103727dex991"/>
      <w:bookmarkEnd w:id="10"/>
      <w:bookmarkEnd w:id="11"/>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Hubbell Incorporated Prices $1.9 Billion Senior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SHELTON, CT (June 2, 2026) — Hubbell Incorporated (NYSE: HUBB) (“Hubbell” or the “Company”) today announced that it has successfully priced an offering (the “offering”) of an aggregate principal amount of $1.9 billion of senior notes, consisting of $500 million aggregate principal amount of 4.650% senior notes due 2031, $700 million aggregate principal amount of 4.900% senior notes due 2033 and $700 million aggregate principal amount of 5.150% senior notes due 2036 (collectively,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expected to close on June 8, 2026, subject to customary closing conditions. Hubbell intends to use the net proceeds from the offering, together with cash on hand and/or additional borrowings, to finance the consideration payable in connection with its proposed acquisition of NSI Electrical Buyer, Inc. (together with its subsidiaries, “NSI”), repay certain existing indebtedness of NSI, and pay related transaction costs. Any remaining net proceeds from the offering are expected to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BofA Securities, Inc., and HSBC Securities (USA) Inc.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pursuant to an effective shelf registration statement on Form S-3 filed with the U.S. Securities and Exchange Commission (the “SEC”). The offering is being made only by means of a prospectus supplement and accompanying prospectus. A copy of the prospectus supplement and accompanying prospectus relating to the offering may be obtained by contacting J.P. Morgan Securities LLC at 270 Park Ave, New York, NY 10017, Attention: Investment Grade Syndicate Desk, or calling collect at 212-834-4533; BofA Securities, Inc. at 201 North Tryon Street, NC1-022-02-25, Charlotte, NC 28255-0001, Attn: Prospectus Department, emailing dg.prospectus_requests@bofa.com or calling toll-free 1-800-294-1322; or HSBC Securities (USA) Inc., 66 Hudson Boulevard, New York, NY 10001, or calling toll-free at 866-811-8049. You may also get these documents for free by visiting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 notes described herein or any other securities, nor shall there be any sale of these notes in any state or jurisdiction in which such offer, solicitation or sale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Hubbell </w:t>
      </w:r>
    </w:p>
    <w:p>
      <w:pPr>
        <w:pStyle w:val="TextBody"/>
        <w:bidi w:val="0"/>
        <w:spacing w:before="120" w:after="0"/>
        <w:jc w:val="left"/>
        <w:rPr>
          <w:rFonts w:ascii="Times New Roman" w:hAnsi="Times New Roman"/>
          <w:sz w:val="20"/>
        </w:rPr>
      </w:pPr>
      <w:r>
        <w:rPr>
          <w:rFonts w:ascii="Times New Roman" w:hAnsi="Times New Roman"/>
          <w:sz w:val="20"/>
        </w:rPr>
        <w:t xml:space="preserve">Hubbell Incorporated is a leading manufacturer of utility and electrical solutions enabling customers to operate critical infrastructure safely, reliably and efficiently. With 2025 revenues of $5.8 billion, Hubbell solutions electrify economies and energize communities. The corporate headquarters is located in Shelton, CT.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Forward-looking statements are not intended to be a guarantee of future results, but instead constitute Hubbell’s current expectations based on reasonable assumptions. Such forward-looking statements include, but are not limited to, our financing plans, including the offering of the notes and the details thereof, the proposed use of proceeds therefrom (including, without limitation, the timing of the completion of our proposed acquisition of NSI) and other expected effects of the offering of the notes and anticipated use of our shelf registration statement, which are subject to risks and uncertainties, such as our continued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eligibility to use the shelf registration statement, demand for our securities, market and general economic conditions and other risks and uncertainties. Forward-looking statements may be identified by the use of forward-looking words or phrases such as “believe”, “expect”, “anticipate”, “intend”, “depend”, “plan”, “estimated”, “predict”, “target”, “should”, “could”, “may”, “subject to”, “continues”, “growing”, “prospective”, “forecast”, “projected”, “purport”, “might”, “if”, “contemplate”, “potential”, “pending”, “goals”, “scheduled”, “will”, “will likely be”, and similar words and phrases. Such forward-looking statements are based on our current expectations and involve numerous assumptions, known and unknown risks, uncertainties and other factors which may cause actual and future performance or Hubbell’s achievements to be materially different from any future results, performance, or achievements expressed or implied by such forward-looking statements. Such factors include, but are not limited to: the impact of and substantial uncertainty regarding the duration of existing and newly announced trade tariffs, import quotas or other trade actions,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 the general impact of inflation on our business, including the impact on raw materials costs, elevated interest rates and increased energy costs and our ability to implement and maintain pricing actions that we have taken to cover higher costs and protect our margin profile; economic and business conditions in particular industries, markets or geographic regions, as well the potential for macro-economic effects of the U.S. government federal deficit, and continued inflation, a significant economic slowdown, stagflation or recession; effects of unfavorable foreign currency exchange rates and the potential use of hedging instruments to hedge the exposure to fluctuating rates of foreign currency exchange on inventory purchases; supply chain disruptions and availability, costs and quantity of raw materials, purchased components, energy and freight; changes in demand for our products, market conditions, product quality, or product availability adversely affecting sales levels; ability to effectively develop and introduce new products; changes in markets or competition adversely affecting realization of price increases; continued softness in the grid automation market of Utility Solutions and residential market of Electrical Solutions; failure to achieve projected levels of efficiencies, and maintain cost savings and cost reduction measures, including those expected as a result of our lean initiatives and strategic sourcing plans; failure to comply with import and export laws; changes relating to impairment of our goodwill and other intangible assets; inability to access capital markets or failure to maintain our credit ratings; changes in expected or future levels of operating cash flow, indebtedness and capital spending; regulatory issues, and extensive worldwide changes to the taxation of multinational enterprises, including global minimum tax rules under the Organisation for Economic Co-operation and Development’s Pillar Two initiative and potential modifications to corporate taxation by the U.S. government, including adjustments to tax rates, deduction limitations, cross-border tax provisions, and administrative guidance; a major disruption in one or more of our manufacturing or distribution facilities or headquarters, including the impact of plant consolidations and relocations; changes in our relationships with, or the financial condition or performance of, key distributors and other customers, agents or business partners which could adversely affect our results of operations; the impact of productivity improvements on lead times, quality and delivery of product; anticipated future contributions and assumptions including increases in interest rates and changes in plan assets with respect to pensions and other retirement benefits, as well as pension withdrawal liabilities; adjustments to product warranty accruals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response to claims incurred, historical experiences and known costs; unexpected costs or charges, certain of which might be outside of our control; changes in strategy due to economic conditions or other conditions outside of our control affecting anticipated future global product sourcing levels; ability to carry out future acquisitions and strategic investments in our core businesses as well as the acquisition related costs; the ability of government customers to meet their financial obligations; political unrest and military actions in foreign countries, including the conflicts in Ukraine and the Middle East and trade tensions with China, as well as the impact on world markets and energy supplies and prices resulting therefrom, including the U.S.-Israel-Iran conflict, which has had substantial effects on global trade, the energy markets and the financial markets; the impact of potential natural disasters or additional public health emergencies on our financial condition and results of operations; 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 incurring significant and/or unexpected costs to avoid, manage, defend and litigate intellectual property matters; future repurchases of common stock under our common stock repurchase program; changes in accounting principles, interpretations, or estimates; failure to comply with any laws and regulations, including those related to data privacy and information security; the outcome of environmental, legal and tax contingencies or costs compared to amounts provided for such contingencies; improper conduct by any of our employees, agents or business partners that damages our reputation or subjects us to civil or criminal liability; our ability to hire, retain and develop qualified personnel; the ability to successfully manage and integrate acquired businesses, such as the acquisitions of Alliance USAcqCo 2, Inc. (the Ventev business), Nicor, Inc. (the Nicor business), and Power Rose Acquisition, Inc. (the DMC Power business),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 the impact of certain divestitures, including the benefits and costs of the sale of the residential lighting business; the ability to effectively implement Enterprise Resource Planning systems without disrupting operational and financial processes; Hubbell’s ability to complete the acquisition of NSI on the proposed terms or on the anticipated timeline, or at all; failure to achieve the anticipated benefits from the acquisition of NSI; other risks related to the completion of the acquisition of NSI and actions related thereto, including transaction costs and/or unknown or inestimable liabilities; risk factors related to the integration of NSI and the future opportunities and plans for the combined company; and other factors described in our Securities and Exchange Commission filings, including in the prospectus supplement related to the offering and in the “Business”, “Risk Factors”, “Management’s Discussion and Analysis of Financial Condition and Results of Operations”, “Forward-Looking Statements”, and “Quantitative and Qualitative Disclosures about Market Risk” sections in our Annual Report on Form 10-K for the year ended December 31, 2025 and Quarterly Reports on Form 10-Q. Any such forward-looking statements are not guarantees of future performance and actual results, developments and business decisions may differ from those contemplated by such forward-looking statements. Potential investors are encouraged to read Hubbell’s filings to learn more about the risk factors associated with Hubbell’s business and the offering. Hubbell undertakes no obligation to update or revise any forward-looking statements, whether as a result of new information, future events or otherwise, except where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Contact:  Jonathon Murphy </w:t>
      </w:r>
    </w:p>
    <w:p>
      <w:pPr>
        <w:pStyle w:val="TextBody"/>
        <w:bidi w:val="0"/>
        <w:spacing w:before="0" w:after="0"/>
        <w:jc w:val="left"/>
        <w:rPr>
          <w:rFonts w:ascii="Times New Roman" w:hAnsi="Times New Roman"/>
          <w:sz w:val="20"/>
        </w:rPr>
      </w:pPr>
      <w:r>
        <w:rPr>
          <w:rFonts w:ascii="Times New Roman" w:hAnsi="Times New Roman"/>
          <w:sz w:val="20"/>
        </w:rPr>
        <w:t xml:space="preserve">Hubbell Incorporated </w:t>
      </w:r>
    </w:p>
    <w:p>
      <w:pPr>
        <w:pStyle w:val="TextBody"/>
        <w:bidi w:val="0"/>
        <w:spacing w:before="0" w:after="0"/>
        <w:jc w:val="left"/>
        <w:rPr>
          <w:rFonts w:ascii="Times New Roman" w:hAnsi="Times New Roman"/>
          <w:sz w:val="20"/>
        </w:rPr>
      </w:pPr>
      <w:r>
        <w:rPr>
          <w:rFonts w:ascii="Times New Roman" w:hAnsi="Times New Roman"/>
          <w:sz w:val="20"/>
        </w:rPr>
        <w:t xml:space="preserve">40 Waterview Drive </w:t>
      </w:r>
    </w:p>
    <w:p>
      <w:pPr>
        <w:pStyle w:val="TextBody"/>
        <w:bidi w:val="0"/>
        <w:spacing w:before="0" w:after="0"/>
        <w:jc w:val="left"/>
        <w:rPr>
          <w:rFonts w:ascii="Times New Roman" w:hAnsi="Times New Roman"/>
          <w:sz w:val="20"/>
        </w:rPr>
      </w:pPr>
      <w:r>
        <w:rPr>
          <w:rFonts w:ascii="Times New Roman" w:hAnsi="Times New Roman"/>
          <w:sz w:val="20"/>
        </w:rPr>
        <w:t xml:space="preserve">P.O. Box 1000 </w:t>
      </w:r>
    </w:p>
    <w:p>
      <w:pPr>
        <w:pStyle w:val="TextBody"/>
        <w:bidi w:val="0"/>
        <w:spacing w:before="0" w:after="0"/>
        <w:jc w:val="left"/>
        <w:rPr>
          <w:rFonts w:ascii="Times New Roman" w:hAnsi="Times New Roman"/>
          <w:sz w:val="20"/>
        </w:rPr>
      </w:pPr>
      <w:r>
        <w:rPr>
          <w:rFonts w:ascii="Times New Roman" w:hAnsi="Times New Roman"/>
          <w:sz w:val="20"/>
        </w:rPr>
        <w:t xml:space="preserve">Shelton, Connecticut 06484 </w:t>
      </w:r>
    </w:p>
    <w:p>
      <w:pPr>
        <w:pStyle w:val="TextBody"/>
        <w:bidi w:val="0"/>
        <w:spacing w:before="0" w:after="0"/>
        <w:jc w:val="left"/>
        <w:rPr>
          <w:rFonts w:ascii="Times New Roman" w:hAnsi="Times New Roman"/>
          <w:sz w:val="20"/>
        </w:rPr>
      </w:pPr>
      <w:r>
        <w:rPr>
          <w:rFonts w:ascii="Times New Roman" w:hAnsi="Times New Roman"/>
          <w:sz w:val="20"/>
        </w:rPr>
        <w:t xml:space="preserve">(475) 882-4000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48898/000095012302006304/y61092exv4wa.txt"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51702</Words>
  <Characters>270785</Characters>
  <CharactersWithSpaces>322771</CharactersWithSpaces>
  <Paragraphs>1478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