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187780.xml.htm"/>
      <w:bookmarkStart w:id="1" w:name="kswkform4_17781877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CARDOSO CARLOS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HUBBELL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WATERVIEW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HUBBELL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81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116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81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0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Directors Deferred Compensation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2,413.678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2,413.678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Directors Deferred Restricted Common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8,010.222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8,010.222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 vesting on date of next regularly scheduled Annual Meeting of Shareholders to be held in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deferred unit consists of one share of Common Stock credited as units under the Company's Deferred Plan for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Deferred units are payable commencing the fifth business day of January following the reporting person's retirement or separation from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Balance has been updated to reflect additional stock units credited through reinvested dividends that have been paid on the individual's Directors Deferred Compensation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Balance has been updated to reflect additional restricted stock units credited through reinvested dividends that have been paid on the individual's Directors Deferred Restricted Common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A. Lane, Attorney-in-fact for Carlos M. Cardoso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8747" TargetMode="External"/><Relationship Id="rId5" Type="http://schemas.openxmlformats.org/officeDocument/2006/relationships/hyperlink" Target="http://www.sec.gov/cgi-bin/browse-edgar?action=getcompany&amp;CIK=0000048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708</Words>
  <Characters>3904</Characters>
  <CharactersWithSpaces>4540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