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-228600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7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5230495</wp:posOffset>
            </wp:positionH>
            <wp:positionV relativeFrom="paragraph">
              <wp:posOffset>-617220</wp:posOffset>
            </wp:positionV>
            <wp:extent cx="57785" cy="6305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0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3955415</wp:posOffset>
            </wp:positionH>
            <wp:positionV relativeFrom="paragraph">
              <wp:posOffset>-617220</wp:posOffset>
            </wp:positionV>
            <wp:extent cx="57785" cy="6305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0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731520</wp:posOffset>
            </wp:positionV>
            <wp:extent cx="7047230" cy="46882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688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4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LIND BONNIE CRUICKSHANK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HUBBELL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HUBB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C/O HUBBELL INCORPORATED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 WATERVIEW DRIVE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SHELTON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06484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86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05/15/2026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68.371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68.371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479.97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2,888.064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6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Compensation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 Units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Director Deferred Compensation Stock Unit consists of one share of Common Stock credited as units under the Company's Deferred Plan for Directors.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Deferred units are payable commencing the fifth business day of January following the reporting person's retirement or separation from the Board.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Unit price consisting of the closing price of one share of Common Stock.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total includes reinvested dividends that have been paid on the individual's Directors Deferred securities.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Katherine A. Lane,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-10795</wp:posOffset>
            </wp:positionV>
            <wp:extent cx="13627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Bonnie Cruickshank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05/19/2026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-18415</wp:posOffset>
            </wp:positionV>
            <wp:extent cx="18732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2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Lind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-18415</wp:posOffset>
            </wp:positionV>
            <wp:extent cx="1981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303696" TargetMode="External"/><Relationship Id="rId14" Type="http://schemas.openxmlformats.org/officeDocument/2006/relationships/hyperlink" Target="http://www.sec.gov/cgi-bin/browse-edgar?action=getcompany&amp;CIK=00000488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2026-05-19T16:15:56Z</dcterms:created>
  <dcterms:modified xsi:type="dcterms:W3CDTF">2026-05-19T16:15:56Z</dcterms:modified>
</cp:coreProperties>
</file>