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30"/>
        </w:rPr>
      </w:pPr>
      <w:r>
        <w:rPr>
          <w:rFonts w:ascii="Arial;sans-serif" w:hAnsi="Arial;sans-serif"/>
          <w:b/>
          <w:color w:val="000000"/>
          <w:sz w:val="30"/>
        </w:rPr>
        <w:t xml:space="preserve">FORM 10-Q </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Arial;sans-serif" w:hAnsi="Arial;sans-serif"/>
          <w:b/>
          <w:color w:val="000000"/>
          <w:sz w:val="18"/>
        </w:rPr>
        <w:t>QUARTERLY REPORT PURSUANT TO SECTION 13 OR 15 (d) OF THE SECURITIES EXCHANGE ACT OF 1934</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June 30, 2026 </w:t>
      </w:r>
    </w:p>
    <w:p>
      <w:pPr>
        <w:pStyle w:val="TextBody"/>
        <w:bidi w:val="0"/>
        <w:spacing w:lineRule="auto" w:line="288" w:before="0" w:after="0"/>
        <w:jc w:val="center"/>
        <w:rPr/>
      </w:pPr>
      <w:r>
        <w:rPr>
          <w:color w:val="000000"/>
        </w:rPr>
        <w:t xml:space="preserve">☐ </w:t>
      </w:r>
      <w:r>
        <w:rPr>
          <w:rFonts w:ascii="Arial;sans-serif" w:hAnsi="Arial;sans-serif"/>
          <w:b/>
          <w:color w:val="000000"/>
          <w:sz w:val="18"/>
        </w:rPr>
        <w:t>TRANSITION REPORT PURSUANT TO SECTION 13 OR 15 (d) OF THE SECURITIES EXCHANGE ACT OF 1934</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______________ to ______________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Commission File Number 1-2958 </w:t>
      </w:r>
    </w:p>
    <w:p>
      <w:pPr>
        <w:pStyle w:val="TextBody"/>
        <w:bidi w:val="0"/>
        <w:spacing w:lineRule="auto" w:line="288" w:before="0" w:after="0"/>
        <w:jc w:val="center"/>
        <w:rPr/>
      </w:pPr>
      <w:r>
        <w:rPr>
          <w:color w:val="000000"/>
        </w:rPr>
        <w:t>  </w:t>
      </w:r>
      <w:r>
        <w:rPr/>
        <w:drawing>
          <wp:inline distT="0" distB="0" distL="0" distR="0">
            <wp:extent cx="16002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6477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3768"/>
          <w:sz w:val="40"/>
        </w:rPr>
      </w:pPr>
      <w:r>
        <w:rPr>
          <w:rFonts w:ascii="Arial;sans-serif" w:hAnsi="Arial;sans-serif"/>
          <w:b/>
          <w:color w:val="003768"/>
          <w:sz w:val="40"/>
        </w:rPr>
        <w:t>HUBBELL INCORPORATED</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7798" w:type="dxa"/>
        <w:jc w:val="left"/>
        <w:tblInd w:w="0" w:type="dxa"/>
        <w:tblLayout w:type="fixed"/>
        <w:tblCellMar>
          <w:top w:w="28" w:type="dxa"/>
          <w:left w:w="28" w:type="dxa"/>
          <w:bottom w:w="28" w:type="dxa"/>
          <w:right w:w="28" w:type="dxa"/>
        </w:tblCellMar>
      </w:tblPr>
      <w:tblGrid>
        <w:gridCol w:w="898"/>
        <w:gridCol w:w="789"/>
        <w:gridCol w:w="789"/>
        <w:gridCol w:w="789"/>
        <w:gridCol w:w="789"/>
        <w:gridCol w:w="805"/>
        <w:gridCol w:w="857"/>
        <w:gridCol w:w="857"/>
        <w:gridCol w:w="1225"/>
      </w:tblGrid>
      <w:tr>
        <w:trPr/>
        <w:tc>
          <w:tcPr>
            <w:tcW w:w="89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59" w:type="dxa"/>
            <w:gridSpan w:val="6"/>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Connecticut</w:t>
            </w:r>
          </w:p>
        </w:tc>
        <w:tc>
          <w:tcPr>
            <w:tcW w:w="293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06-0397030</w:t>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(I.R.S. Employer Identification No.)</w:t>
            </w:r>
          </w:p>
        </w:tc>
      </w:tr>
      <w:tr>
        <w:trPr/>
        <w:tc>
          <w:tcPr>
            <w:tcW w:w="4859" w:type="dxa"/>
            <w:gridSpan w:val="6"/>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40 Waterview Drive </w:t>
            </w:r>
          </w:p>
        </w:tc>
        <w:tc>
          <w:tcPr>
            <w:tcW w:w="2939"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Shelton,</w:t>
            </w:r>
          </w:p>
        </w:tc>
        <w:tc>
          <w:tcPr>
            <w:tcW w:w="238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CT</w:t>
            </w:r>
          </w:p>
        </w:tc>
        <w:tc>
          <w:tcPr>
            <w:tcW w:w="293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06484</w:t>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(Address of principal executive offices)</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(Zip Code)</w:t>
            </w:r>
          </w:p>
        </w:tc>
      </w:tr>
      <w:tr>
        <w:trPr/>
        <w:tc>
          <w:tcPr>
            <w:tcW w:w="4859" w:type="dxa"/>
            <w:gridSpan w:val="6"/>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xml:space="preserve">(475) </w:t>
            </w:r>
          </w:p>
        </w:tc>
        <w:tc>
          <w:tcPr>
            <w:tcW w:w="293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882-4000</w:t>
            </w:r>
          </w:p>
        </w:tc>
      </w:tr>
      <w:tr>
        <w:trPr/>
        <w:tc>
          <w:tcPr>
            <w:tcW w:w="7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(Registrant’s telephone number, including area code)</w:t>
            </w:r>
          </w:p>
        </w:tc>
      </w:tr>
    </w:tbl>
    <w:p>
      <w:pPr>
        <w:pStyle w:val="TextBody"/>
        <w:bidi w:val="0"/>
        <w:spacing w:lineRule="auto" w:line="288" w:before="0" w:after="0"/>
        <w:ind w:left="0" w:right="0" w:firstLine="720"/>
        <w:jc w:val="left"/>
        <w:rPr>
          <w:color w:val="000000"/>
        </w:rPr>
      </w:pPr>
      <w:r>
        <w:rPr>
          <w:color w:val="000000"/>
        </w:rPr>
        <w:t> </w:t>
      </w:r>
    </w:p>
    <w:tbl>
      <w:tblPr>
        <w:tblW w:w="6825" w:type="dxa"/>
        <w:jc w:val="left"/>
        <w:tblInd w:w="0" w:type="dxa"/>
        <w:tblLayout w:type="fixed"/>
        <w:tblCellMar>
          <w:top w:w="28" w:type="dxa"/>
          <w:left w:w="28" w:type="dxa"/>
          <w:bottom w:w="28" w:type="dxa"/>
          <w:right w:w="28" w:type="dxa"/>
        </w:tblCellMar>
      </w:tblPr>
      <w:tblGrid>
        <w:gridCol w:w="2180"/>
        <w:gridCol w:w="1918"/>
        <w:gridCol w:w="2727"/>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8" w:space="0" w:color="000000"/>
              <w:left w:val="single" w:sz="8" w:space="0" w:color="000000"/>
              <w:right w:val="single" w:sz="8" w:space="0" w:color="000000"/>
            </w:tcBorders>
            <w:shd w:fill="C5CFE1" w:val="clear"/>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w:t>
            </w:r>
          </w:p>
        </w:tc>
      </w:tr>
      <w:tr>
        <w:trPr/>
        <w:tc>
          <w:tcPr>
            <w:tcW w:w="6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(Former name, former address and former fiscal year, if changed since last report.)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224" w:type="dxa"/>
        <w:jc w:val="center"/>
        <w:tblInd w:w="0" w:type="dxa"/>
        <w:tblLayout w:type="fixed"/>
        <w:tblCellMar>
          <w:top w:w="28" w:type="dxa"/>
          <w:left w:w="28" w:type="dxa"/>
          <w:bottom w:w="28" w:type="dxa"/>
          <w:right w:w="28" w:type="dxa"/>
        </w:tblCellMar>
      </w:tblPr>
      <w:tblGrid>
        <w:gridCol w:w="1308"/>
        <w:gridCol w:w="1147"/>
        <w:gridCol w:w="1160"/>
        <w:gridCol w:w="554"/>
        <w:gridCol w:w="554"/>
        <w:gridCol w:w="556"/>
        <w:gridCol w:w="1154"/>
        <w:gridCol w:w="1154"/>
        <w:gridCol w:w="1637"/>
      </w:tblGrid>
      <w:tr>
        <w:trPr/>
        <w:tc>
          <w:tcPr>
            <w:tcW w:w="130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left w:val="single" w:sz="8" w:space="0" w:color="000000"/>
            </w:tcBorders>
            <w:shd w:fill="C5CFE1"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64" w:type="dxa"/>
            <w:gridSpan w:val="3"/>
            <w:tcBorders>
              <w:top w:val="single" w:sz="8" w:space="0" w:color="000000"/>
              <w:left w:val="single" w:sz="8" w:space="0" w:color="000000"/>
            </w:tcBorders>
            <w:shd w:fill="C5CFE1"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5" w:type="dxa"/>
            <w:gridSpan w:val="3"/>
            <w:tcBorders>
              <w:top w:val="single" w:sz="8" w:space="0" w:color="000000"/>
              <w:left w:val="single" w:sz="8" w:space="0" w:color="000000"/>
              <w:right w:val="single" w:sz="8" w:space="0" w:color="000000"/>
            </w:tcBorders>
            <w:shd w:fill="C5CFE1" w:val="clear"/>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61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 par value $0.01 per share</w:t>
            </w:r>
          </w:p>
        </w:tc>
        <w:tc>
          <w:tcPr>
            <w:tcW w:w="16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HUBB</w:t>
            </w:r>
          </w:p>
        </w:tc>
        <w:tc>
          <w:tcPr>
            <w:tcW w:w="394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tbl>
      <w:tblPr>
        <w:tblW w:w="10205" w:type="dxa"/>
        <w:jc w:val="left"/>
        <w:tblInd w:w="0" w:type="dxa"/>
        <w:tblLayout w:type="fixed"/>
        <w:tblCellMar>
          <w:top w:w="28" w:type="dxa"/>
          <w:left w:w="28" w:type="dxa"/>
          <w:bottom w:w="28" w:type="dxa"/>
          <w:right w:w="28" w:type="dxa"/>
        </w:tblCellMar>
      </w:tblPr>
      <w:tblGrid>
        <w:gridCol w:w="1004"/>
        <w:gridCol w:w="346"/>
        <w:gridCol w:w="346"/>
        <w:gridCol w:w="346"/>
        <w:gridCol w:w="346"/>
        <w:gridCol w:w="346"/>
        <w:gridCol w:w="988"/>
        <w:gridCol w:w="366"/>
        <w:gridCol w:w="366"/>
        <w:gridCol w:w="366"/>
        <w:gridCol w:w="366"/>
        <w:gridCol w:w="366"/>
        <w:gridCol w:w="1310"/>
        <w:gridCol w:w="366"/>
        <w:gridCol w:w="366"/>
        <w:gridCol w:w="292"/>
        <w:gridCol w:w="292"/>
        <w:gridCol w:w="292"/>
        <w:gridCol w:w="176"/>
        <w:gridCol w:w="176"/>
        <w:gridCol w:w="177"/>
        <w:gridCol w:w="132"/>
        <w:gridCol w:w="132"/>
        <w:gridCol w:w="132"/>
        <w:gridCol w:w="139"/>
        <w:gridCol w:w="139"/>
        <w:gridCol w:w="141"/>
        <w:gridCol w:w="110"/>
        <w:gridCol w:w="110"/>
        <w:gridCol w:w="171"/>
      </w:tblGrid>
      <w:tr>
        <w:trPr/>
        <w:tc>
          <w:tcPr>
            <w:tcW w:w="10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594" w:type="dxa"/>
            <w:gridSpan w:val="15"/>
            <w:tcBorders>
              <w:top w:val="single" w:sz="8" w:space="0" w:color="000000"/>
              <w:left w:val="single" w:sz="8" w:space="0" w:color="000000"/>
              <w:bottom w:val="single" w:sz="8" w:space="0" w:color="000000"/>
            </w:tcBorders>
            <w:shd w:fill="C5CFE1"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Indicate by check mark</w:t>
            </w:r>
          </w:p>
        </w:tc>
        <w:tc>
          <w:tcPr>
            <w:tcW w:w="876" w:type="dxa"/>
            <w:gridSpan w:val="3"/>
            <w:tcBorders>
              <w:top w:val="single" w:sz="8" w:space="0" w:color="000000"/>
              <w:left w:val="single" w:sz="8" w:space="0" w:color="000000"/>
              <w:bottom w:val="single" w:sz="8" w:space="0" w:color="000000"/>
            </w:tcBorders>
            <w:shd w:fill="C5CFE1" w:val="clear"/>
            <w:tcMar>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left w:val="single" w:sz="8" w:space="0" w:color="000000"/>
            </w:tcBorders>
            <w:shd w:fill="C5CFE1" w:val="clear"/>
            <w:tcMar>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op w:val="single" w:sz="8" w:space="0" w:color="000000"/>
              <w:left w:val="single" w:sz="8" w:space="0" w:color="000000"/>
            </w:tcBorders>
            <w:shd w:fill="C5CFE1" w:val="clear"/>
            <w:tcMar>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right w:val="single" w:sz="8" w:space="0" w:color="000000"/>
            </w:tcBorders>
            <w:shd w:fill="C5CFE1"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8470" w:type="dxa"/>
            <w:gridSpan w:val="18"/>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ind w:left="0" w:right="0" w:hanging="180"/>
              <w:jc w:val="both"/>
              <w:rPr/>
            </w:pPr>
            <w:r>
              <w:rPr>
                <w:color w:val="000000"/>
              </w:rPr>
              <w:t>•</w:t>
            </w:r>
            <w:r>
              <w:rPr>
                <w:rFonts w:ascii="Arial;sans-serif" w:hAnsi="Arial;sans-serif"/>
                <w:b w:val="false"/>
                <w:color w:val="000000"/>
                <w:sz w:val="18"/>
              </w:rPr>
              <w:t>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tc>
        <w:tc>
          <w:tcPr>
            <w:tcW w:w="5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Yes</w:t>
            </w:r>
          </w:p>
        </w:tc>
        <w:tc>
          <w:tcPr>
            <w:tcW w:w="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w:t>
            </w:r>
          </w:p>
        </w:tc>
        <w:tc>
          <w:tcPr>
            <w:tcW w:w="391"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8470" w:type="dxa"/>
            <w:gridSpan w:val="18"/>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ind w:left="0" w:right="0" w:hanging="180"/>
              <w:jc w:val="both"/>
              <w:rPr/>
            </w:pPr>
            <w:r>
              <w:rPr>
                <w:color w:val="000000"/>
              </w:rPr>
              <w:t>•</w:t>
            </w:r>
            <w:r>
              <w:rPr>
                <w:rFonts w:ascii="Arial;sans-serif" w:hAnsi="Arial;sans-serif"/>
                <w:b w:val="false"/>
                <w:color w:val="000000"/>
                <w:sz w:val="18"/>
              </w:rPr>
              <w:t>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5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Yes</w:t>
            </w:r>
          </w:p>
        </w:tc>
        <w:tc>
          <w:tcPr>
            <w:tcW w:w="3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4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w:t>
            </w:r>
          </w:p>
        </w:tc>
        <w:tc>
          <w:tcPr>
            <w:tcW w:w="391"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30"/>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ind w:left="0" w:right="0" w:hanging="180"/>
              <w:jc w:val="both"/>
              <w:rPr/>
            </w:pPr>
            <w:r>
              <w:rPr>
                <w:color w:val="000000"/>
              </w:rPr>
              <w:t>•</w:t>
            </w:r>
            <w:r>
              <w:rPr>
                <w:rFonts w:ascii="Arial;sans-serif" w:hAnsi="Arial;sans-serif"/>
                <w:b w:val="false"/>
                <w:color w:val="000000"/>
                <w:sz w:val="18"/>
              </w:rPr>
              <w:t>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Large accelerated filer </w:t>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Accelerated filer</w:t>
            </w:r>
            <w:r>
              <w:rPr>
                <w:color w:val="000000"/>
              </w:rPr>
              <w:t> </w:t>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204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Non-accelerated filer </w:t>
            </w:r>
          </w:p>
        </w:tc>
        <w:tc>
          <w:tcPr>
            <w:tcW w:w="8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344" w:type="dxa"/>
            <w:gridSpan w:val="9"/>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91"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left"/>
              <w:rPr>
                <w:color w:val="000000"/>
              </w:rPr>
            </w:pPr>
            <w:r>
              <w:rPr>
                <w:color w:val="000000"/>
              </w:rPr>
              <w:t>☐</w:t>
            </w:r>
          </w:p>
        </w:tc>
      </w:tr>
      <w:tr>
        <w:trPr/>
        <w:tc>
          <w:tcPr>
            <w:tcW w:w="1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471" w:type="dxa"/>
            <w:gridSpan w:val="24"/>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 provided pursuant to Section 13(a) of the Exchange Act. </w:t>
            </w:r>
            <w:r>
              <w:rPr>
                <w:color w:val="000000"/>
              </w:rPr>
              <w:t>☐</w:t>
            </w:r>
          </w:p>
        </w:tc>
      </w:tr>
      <w:tr>
        <w:trPr/>
        <w:tc>
          <w:tcPr>
            <w:tcW w:w="8470" w:type="dxa"/>
            <w:gridSpan w:val="18"/>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whether the registrant is a shell company (as defined in Rule 12b-2 of the Exchange Act).</w:t>
            </w:r>
          </w:p>
        </w:tc>
        <w:tc>
          <w:tcPr>
            <w:tcW w:w="5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Yes</w:t>
            </w:r>
          </w:p>
        </w:tc>
        <w:tc>
          <w:tcPr>
            <w:tcW w:w="39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4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w:t>
            </w:r>
          </w:p>
        </w:tc>
        <w:tc>
          <w:tcPr>
            <w:tcW w:w="39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The number of shares outstanding of Hubbell common stock as of July 23, 2026 was 52,832,571.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Index</w:t>
      </w:r>
    </w:p>
    <w:tbl>
      <w:tblPr>
        <w:tblW w:w="9885" w:type="dxa"/>
        <w:jc w:val="left"/>
        <w:tblInd w:w="0" w:type="dxa"/>
        <w:tblLayout w:type="fixed"/>
        <w:tblCellMar>
          <w:top w:w="28" w:type="dxa"/>
          <w:left w:w="28" w:type="dxa"/>
          <w:bottom w:w="28" w:type="dxa"/>
          <w:right w:w="28" w:type="dxa"/>
        </w:tblCellMar>
      </w:tblPr>
      <w:tblGrid>
        <w:gridCol w:w="588"/>
        <w:gridCol w:w="516"/>
        <w:gridCol w:w="516"/>
        <w:gridCol w:w="2597"/>
        <w:gridCol w:w="2597"/>
        <w:gridCol w:w="2650"/>
        <w:gridCol w:w="123"/>
        <w:gridCol w:w="123"/>
        <w:gridCol w:w="175"/>
      </w:tblGrid>
      <w:tr>
        <w:trPr/>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Table of Contents</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0">
              <w:r>
                <w:rPr>
                  <w:rStyle w:val="InternetLink"/>
                  <w:rFonts w:ascii="Arial;sans-serif" w:hAnsi="Arial;sans-serif"/>
                  <w:b/>
                  <w:strike w:val="false"/>
                  <w:dstrike w:val="false"/>
                  <w:color w:val="000000"/>
                  <w:sz w:val="24"/>
                  <w:u w:val="none"/>
                  <w:effect w:val="none"/>
                </w:rPr>
                <w:t>PART I</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0">
              <w:r>
                <w:rPr>
                  <w:rStyle w:val="InternetLink"/>
                  <w:rFonts w:ascii="Arial;sans-serif" w:hAnsi="Arial;sans-serif"/>
                  <w:b/>
                  <w:strike w:val="false"/>
                  <w:dstrike w:val="false"/>
                  <w:color w:val="000000"/>
                  <w:sz w:val="24"/>
                  <w:u w:val="none"/>
                  <w:effect w:val="none"/>
                </w:rPr>
                <w:t>3</w:t>
              </w:r>
            </w:hyperlink>
          </w:p>
        </w:tc>
      </w:tr>
      <w:tr>
        <w:trPr/>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3">
              <w:r>
                <w:rPr>
                  <w:rStyle w:val="InternetLink"/>
                  <w:rFonts w:ascii="Arial;sans-serif" w:hAnsi="Arial;sans-serif"/>
                  <w:b/>
                  <w:strike w:val="false"/>
                  <w:dstrike w:val="false"/>
                  <w:color w:val="000000"/>
                  <w:sz w:val="20"/>
                  <w:u w:val="none"/>
                  <w:effect w:val="non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3">
              <w:r>
                <w:rPr>
                  <w:rStyle w:val="InternetLink"/>
                  <w:rFonts w:ascii="Arial;sans-serif" w:hAnsi="Arial;sans-serif"/>
                  <w:b w:val="false"/>
                  <w:strike w:val="false"/>
                  <w:dstrike w:val="false"/>
                  <w:color w:val="000000"/>
                  <w:sz w:val="20"/>
                  <w:u w:val="none"/>
                  <w:effect w:val="none"/>
                </w:rPr>
                <w:t>Financial Statements (unaudited)</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86965d061564401bd4f1f8540620a8b_16">
              <w:r>
                <w:rPr>
                  <w:rStyle w:val="InternetLink"/>
                  <w:rFonts w:ascii="Arial;sans-serif" w:hAnsi="Arial;sans-serif"/>
                  <w:b w:val="false"/>
                  <w:strike w:val="false"/>
                  <w:dstrike w:val="false"/>
                  <w:color w:val="000000"/>
                  <w:sz w:val="20"/>
                  <w:u w:val="none"/>
                  <w:effect w:val="none"/>
                </w:rPr>
                <w:t>Condensed Consolidated Statements of Income</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6">
              <w:r>
                <w:rPr>
                  <w:rStyle w:val="InternetLink"/>
                  <w:rFonts w:ascii="Arial;sans-serif" w:hAnsi="Arial;sans-serif"/>
                  <w:b w:val="false"/>
                  <w:strike w:val="false"/>
                  <w:dstrike w:val="false"/>
                  <w:color w:val="000000"/>
                  <w:sz w:val="20"/>
                  <w:u w:val="none"/>
                  <w:effect w:val="none"/>
                </w:rPr>
                <w:t>3</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86965d061564401bd4f1f8540620a8b_19">
              <w:r>
                <w:rPr>
                  <w:rStyle w:val="InternetLink"/>
                  <w:rFonts w:ascii="Arial;sans-serif" w:hAnsi="Arial;sans-serif"/>
                  <w:b w:val="false"/>
                  <w:strike w:val="false"/>
                  <w:dstrike w:val="false"/>
                  <w:color w:val="000000"/>
                  <w:sz w:val="20"/>
                  <w:u w:val="none"/>
                  <w:effect w:val="none"/>
                </w:rPr>
                <w:t>Condensed Consolidated Statements of Comprehensive Income</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9">
              <w:r>
                <w:rPr>
                  <w:rStyle w:val="InternetLink"/>
                  <w:rFonts w:ascii="Arial;sans-serif" w:hAnsi="Arial;sans-serif"/>
                  <w:b w:val="false"/>
                  <w:strike w:val="false"/>
                  <w:dstrike w:val="false"/>
                  <w:color w:val="000000"/>
                  <w:sz w:val="20"/>
                  <w:u w:val="none"/>
                  <w:effect w:val="none"/>
                </w:rPr>
                <w:t>4</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86965d061564401bd4f1f8540620a8b_25">
              <w:r>
                <w:rPr>
                  <w:rStyle w:val="InternetLink"/>
                  <w:rFonts w:ascii="Arial;sans-serif" w:hAnsi="Arial;sans-serif"/>
                  <w:b w:val="false"/>
                  <w:strike w:val="false"/>
                  <w:dstrike w:val="false"/>
                  <w:color w:val="000000"/>
                  <w:sz w:val="20"/>
                  <w:u w:val="none"/>
                  <w:effect w:val="none"/>
                </w:rPr>
                <w:t>Condensed Consolidated Balance Sheets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25">
              <w:r>
                <w:rPr>
                  <w:rStyle w:val="InternetLink"/>
                  <w:rFonts w:ascii="Arial;sans-serif" w:hAnsi="Arial;sans-serif"/>
                  <w:b w:val="false"/>
                  <w:strike w:val="false"/>
                  <w:dstrike w:val="false"/>
                  <w:color w:val="000000"/>
                  <w:sz w:val="20"/>
                  <w:u w:val="none"/>
                  <w:effect w:val="none"/>
                </w:rPr>
                <w:t>5</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86965d061564401bd4f1f8540620a8b_28">
              <w:r>
                <w:rPr>
                  <w:rStyle w:val="InternetLink"/>
                  <w:rFonts w:ascii="Arial;sans-serif" w:hAnsi="Arial;sans-serif"/>
                  <w:b w:val="false"/>
                  <w:strike w:val="false"/>
                  <w:dstrike w:val="false"/>
                  <w:color w:val="000000"/>
                  <w:sz w:val="20"/>
                  <w:u w:val="none"/>
                  <w:effect w:val="none"/>
                </w:rPr>
                <w:t>Condensed Consolidated Statements of Cash Flows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28">
              <w:r>
                <w:rPr>
                  <w:rStyle w:val="InternetLink"/>
                  <w:rFonts w:ascii="Arial;sans-serif" w:hAnsi="Arial;sans-serif"/>
                  <w:b w:val="false"/>
                  <w:strike w:val="false"/>
                  <w:dstrike w:val="false"/>
                  <w:color w:val="000000"/>
                  <w:sz w:val="20"/>
                  <w:u w:val="none"/>
                  <w:effect w:val="none"/>
                </w:rPr>
                <w:t>6</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86965d061564401bd4f1f8540620a8b_31">
              <w:r>
                <w:rPr>
                  <w:rStyle w:val="InternetLink"/>
                  <w:rFonts w:ascii="Arial;sans-serif" w:hAnsi="Arial;sans-serif"/>
                  <w:b w:val="false"/>
                  <w:strike w:val="false"/>
                  <w:dstrike w:val="false"/>
                  <w:color w:val="000000"/>
                  <w:sz w:val="20"/>
                  <w:u w:val="none"/>
                  <w:effect w:val="none"/>
                </w:rPr>
                <w:t>Notes to Condensed Consolidated Financial Statements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31">
              <w:r>
                <w:rPr>
                  <w:rStyle w:val="InternetLink"/>
                  <w:rFonts w:ascii="Arial;sans-serif" w:hAnsi="Arial;sans-serif"/>
                  <w:b w:val="false"/>
                  <w:strike w:val="false"/>
                  <w:dstrike w:val="false"/>
                  <w:color w:val="000000"/>
                  <w:sz w:val="20"/>
                  <w:u w:val="none"/>
                  <w:effect w:val="none"/>
                </w:rPr>
                <w:t>7</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97">
              <w:r>
                <w:rPr>
                  <w:rStyle w:val="InternetLink"/>
                  <w:rFonts w:ascii="Arial;sans-serif" w:hAnsi="Arial;sans-serif"/>
                  <w:b/>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97">
              <w:r>
                <w:rPr>
                  <w:rStyle w:val="InternetLink"/>
                  <w:rFonts w:ascii="Arial;sans-serif" w:hAnsi="Arial;sans-serif"/>
                  <w:b w:val="false"/>
                  <w:strike w:val="false"/>
                  <w:dstrike w:val="false"/>
                  <w:color w:val="000000"/>
                  <w:sz w:val="20"/>
                  <w:u w:val="none"/>
                  <w:effect w:val="none"/>
                </w:rPr>
                <w:t>Management’s Discussion and Analysis of Financial Condition and Results of Operations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97">
              <w:r>
                <w:rPr>
                  <w:rStyle w:val="InternetLink"/>
                  <w:rFonts w:ascii="Arial;sans-serif" w:hAnsi="Arial;sans-serif"/>
                  <w:b w:val="false"/>
                  <w:strike w:val="false"/>
                  <w:dstrike w:val="false"/>
                  <w:color w:val="000000"/>
                  <w:sz w:val="20"/>
                  <w:u w:val="none"/>
                  <w:effect w:val="none"/>
                </w:rPr>
                <w:t>37</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15">
              <w:r>
                <w:rPr>
                  <w:rStyle w:val="InternetLink"/>
                  <w:rFonts w:ascii="Arial;sans-serif" w:hAnsi="Arial;sans-serif"/>
                  <w:b/>
                  <w:strike w:val="false"/>
                  <w:dstrike w:val="false"/>
                  <w:color w:val="000000"/>
                  <w:sz w:val="20"/>
                  <w:u w:val="none"/>
                  <w:effect w:val="non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15">
              <w:r>
                <w:rPr>
                  <w:rStyle w:val="InternetLink"/>
                  <w:rFonts w:ascii="Arial;sans-serif" w:hAnsi="Arial;sans-serif"/>
                  <w:b w:val="false"/>
                  <w:strike w:val="false"/>
                  <w:dstrike w:val="false"/>
                  <w:color w:val="000000"/>
                  <w:sz w:val="20"/>
                  <w:u w:val="none"/>
                  <w:effect w:val="none"/>
                </w:rPr>
                <w:t>Quantitative and Qualitative Disclosures About Market Risk</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15">
              <w:r>
                <w:rPr>
                  <w:rStyle w:val="InternetLink"/>
                  <w:rFonts w:ascii="Arial;sans-serif" w:hAnsi="Arial;sans-serif"/>
                  <w:b w:val="false"/>
                  <w:strike w:val="false"/>
                  <w:dstrike w:val="false"/>
                  <w:color w:val="000000"/>
                  <w:sz w:val="20"/>
                  <w:u w:val="none"/>
                  <w:effect w:val="none"/>
                </w:rPr>
                <w:t>56</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18">
              <w:r>
                <w:rPr>
                  <w:rStyle w:val="InternetLink"/>
                  <w:rFonts w:ascii="Arial;sans-serif" w:hAnsi="Arial;sans-serif"/>
                  <w:b/>
                  <w:strike w:val="false"/>
                  <w:dstrike w:val="false"/>
                  <w:color w:val="000000"/>
                  <w:sz w:val="20"/>
                  <w:u w:val="none"/>
                  <w:effect w:val="non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18">
              <w:r>
                <w:rPr>
                  <w:rStyle w:val="InternetLink"/>
                  <w:rFonts w:ascii="Arial;sans-serif" w:hAnsi="Arial;sans-serif"/>
                  <w:b w:val="false"/>
                  <w:strike w:val="false"/>
                  <w:dstrike w:val="false"/>
                  <w:color w:val="000000"/>
                  <w:sz w:val="20"/>
                  <w:u w:val="none"/>
                  <w:effect w:val="none"/>
                </w:rPr>
                <w:t>Controls and Procedures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18">
              <w:r>
                <w:rPr>
                  <w:rStyle w:val="InternetLink"/>
                  <w:rFonts w:ascii="Arial;sans-serif" w:hAnsi="Arial;sans-serif"/>
                  <w:b w:val="false"/>
                  <w:strike w:val="false"/>
                  <w:dstrike w:val="false"/>
                  <w:color w:val="000000"/>
                  <w:sz w:val="20"/>
                  <w:u w:val="none"/>
                  <w:effect w:val="none"/>
                </w:rPr>
                <w:t>57</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21">
              <w:r>
                <w:rPr>
                  <w:rStyle w:val="InternetLink"/>
                  <w:rFonts w:ascii="Arial;sans-serif" w:hAnsi="Arial;sans-serif"/>
                  <w:b/>
                  <w:strike w:val="false"/>
                  <w:dstrike w:val="false"/>
                  <w:color w:val="000000"/>
                  <w:sz w:val="24"/>
                  <w:u w:val="none"/>
                  <w:effect w:val="none"/>
                </w:rPr>
                <w:t>PART II</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21">
              <w:r>
                <w:rPr>
                  <w:rStyle w:val="InternetLink"/>
                  <w:rFonts w:ascii="Arial;sans-serif" w:hAnsi="Arial;sans-serif"/>
                  <w:b/>
                  <w:strike w:val="false"/>
                  <w:dstrike w:val="false"/>
                  <w:color w:val="000000"/>
                  <w:sz w:val="24"/>
                  <w:u w:val="none"/>
                  <w:effect w:val="none"/>
                </w:rPr>
                <w:t>58</w:t>
              </w:r>
            </w:hyperlink>
          </w:p>
        </w:tc>
      </w:tr>
      <w:tr>
        <w:trPr/>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24">
              <w:r>
                <w:rPr>
                  <w:rStyle w:val="InternetLink"/>
                  <w:rFonts w:ascii="Arial;sans-serif" w:hAnsi="Arial;sans-serif"/>
                  <w:b/>
                  <w:strike w:val="false"/>
                  <w:dstrike w:val="false"/>
                  <w:color w:val="000000"/>
                  <w:sz w:val="20"/>
                  <w:u w:val="none"/>
                  <w:effect w:val="non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24">
              <w:r>
                <w:rPr>
                  <w:rStyle w:val="InternetLink"/>
                  <w:rFonts w:ascii="Arial;sans-serif" w:hAnsi="Arial;sans-serif"/>
                  <w:b w:val="false"/>
                  <w:strike w:val="false"/>
                  <w:dstrike w:val="false"/>
                  <w:color w:val="000000"/>
                  <w:sz w:val="20"/>
                  <w:u w:val="none"/>
                  <w:effect w:val="none"/>
                </w:rPr>
                <w:t>Risk Factors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24">
              <w:r>
                <w:rPr>
                  <w:rStyle w:val="InternetLink"/>
                  <w:rFonts w:ascii="Arial;sans-serif" w:hAnsi="Arial;sans-serif"/>
                  <w:b w:val="false"/>
                  <w:strike w:val="false"/>
                  <w:dstrike w:val="false"/>
                  <w:color w:val="000000"/>
                  <w:sz w:val="20"/>
                  <w:u w:val="none"/>
                  <w:effect w:val="none"/>
                </w:rPr>
                <w:t>58</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27">
              <w:r>
                <w:rPr>
                  <w:rStyle w:val="InternetLink"/>
                  <w:rFonts w:ascii="Arial;sans-serif" w:hAnsi="Arial;sans-serif"/>
                  <w:b/>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27">
              <w:r>
                <w:rPr>
                  <w:rStyle w:val="InternetLink"/>
                  <w:rFonts w:ascii="Arial;sans-serif" w:hAnsi="Arial;sans-serif"/>
                  <w:b w:val="false"/>
                  <w:strike w:val="false"/>
                  <w:dstrike w:val="false"/>
                  <w:color w:val="000000"/>
                  <w:sz w:val="20"/>
                  <w:u w:val="none"/>
                  <w:effect w:val="none"/>
                </w:rPr>
                <w:t>Unregistered Sales of Equity Securities and Use of Proceeds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27">
              <w:r>
                <w:rPr>
                  <w:rStyle w:val="InternetLink"/>
                  <w:rFonts w:ascii="Arial;sans-serif" w:hAnsi="Arial;sans-serif"/>
                  <w:b w:val="false"/>
                  <w:strike w:val="false"/>
                  <w:dstrike w:val="false"/>
                  <w:color w:val="000000"/>
                  <w:sz w:val="20"/>
                  <w:u w:val="none"/>
                  <w:effect w:val="none"/>
                </w:rPr>
                <w:t>58</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30">
              <w:r>
                <w:rPr>
                  <w:rStyle w:val="InternetLink"/>
                  <w:rFonts w:ascii="Arial;sans-serif" w:hAnsi="Arial;sans-serif"/>
                  <w:b/>
                  <w:strike w:val="false"/>
                  <w:dstrike w:val="false"/>
                  <w:color w:val="000000"/>
                  <w:sz w:val="20"/>
                  <w:u w:val="none"/>
                  <w:effect w:val="none"/>
                </w:rPr>
                <w:t xml:space="preserve">ITEM </w:t>
              </w:r>
            </w:hyperlink>
            <w:r>
              <w:rPr>
                <w:rFonts w:ascii="Arial;sans-serif" w:hAnsi="Arial;sans-serif"/>
                <w:b/>
                <w:color w:val="000000"/>
                <w:sz w:val="20"/>
              </w:rPr>
              <w:t>5</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30">
              <w:r>
                <w:rPr>
                  <w:rStyle w:val="InternetLink"/>
                  <w:rFonts w:ascii="Arial;sans-serif" w:hAnsi="Arial;sans-serif"/>
                  <w:b w:val="false"/>
                  <w:strike w:val="false"/>
                  <w:dstrike w:val="false"/>
                  <w:color w:val="000000"/>
                  <w:sz w:val="20"/>
                  <w:u w:val="none"/>
                  <w:effect w:val="none"/>
                </w:rPr>
                <w:t>Other information</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30">
              <w:r>
                <w:rPr>
                  <w:rStyle w:val="InternetLink"/>
                  <w:rFonts w:ascii="Arial;sans-serif" w:hAnsi="Arial;sans-serif"/>
                  <w:b w:val="false"/>
                  <w:strike w:val="false"/>
                  <w:dstrike w:val="false"/>
                  <w:color w:val="000000"/>
                  <w:sz w:val="20"/>
                  <w:u w:val="none"/>
                  <w:effect w:val="none"/>
                </w:rPr>
                <w:t>58</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33">
              <w:r>
                <w:rPr>
                  <w:rStyle w:val="InternetLink"/>
                  <w:rFonts w:ascii="Arial;sans-serif" w:hAnsi="Arial;sans-serif"/>
                  <w:b/>
                  <w:strike w:val="false"/>
                  <w:dstrike w:val="false"/>
                  <w:color w:val="000000"/>
                  <w:sz w:val="20"/>
                  <w:u w:val="none"/>
                  <w:effect w:val="non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33">
              <w:r>
                <w:rPr>
                  <w:rStyle w:val="InternetLink"/>
                  <w:rFonts w:ascii="Arial;sans-serif" w:hAnsi="Arial;sans-serif"/>
                  <w:b w:val="false"/>
                  <w:strike w:val="false"/>
                  <w:dstrike w:val="false"/>
                  <w:color w:val="000000"/>
                  <w:sz w:val="20"/>
                  <w:u w:val="none"/>
                  <w:effect w:val="none"/>
                </w:rPr>
                <w:t>Exhibits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33">
              <w:r>
                <w:rPr>
                  <w:rStyle w:val="InternetLink"/>
                  <w:rFonts w:ascii="Arial;sans-serif" w:hAnsi="Arial;sans-serif"/>
                  <w:b w:val="false"/>
                  <w:strike w:val="false"/>
                  <w:dstrike w:val="false"/>
                  <w:color w:val="000000"/>
                  <w:sz w:val="20"/>
                  <w:u w:val="none"/>
                  <w:effect w:val="none"/>
                </w:rPr>
                <w:t>59</w:t>
              </w:r>
            </w:hyperlink>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6965d061564401bd4f1f8540620a8b_136">
              <w:r>
                <w:rPr>
                  <w:rStyle w:val="InternetLink"/>
                  <w:rFonts w:ascii="Arial;sans-serif" w:hAnsi="Arial;sans-serif"/>
                  <w:b w:val="false"/>
                  <w:strike w:val="false"/>
                  <w:dstrike w:val="false"/>
                  <w:color w:val="000000"/>
                  <w:sz w:val="20"/>
                  <w:u w:val="none"/>
                  <w:effect w:val="none"/>
                </w:rPr>
                <w:t>Signatures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965d061564401bd4f1f8540620a8b_136">
              <w:r>
                <w:rPr>
                  <w:rStyle w:val="InternetLink"/>
                  <w:rFonts w:ascii="Arial;sans-serif" w:hAnsi="Arial;sans-serif"/>
                  <w:b w:val="false"/>
                  <w:strike w:val="false"/>
                  <w:dstrike w:val="false"/>
                  <w:color w:val="000000"/>
                  <w:sz w:val="20"/>
                  <w:u w:val="none"/>
                  <w:effect w:val="none"/>
                </w:rPr>
                <w:t>60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tbl>
      <w:tblPr>
        <w:tblW w:w="6765" w:type="dxa"/>
        <w:jc w:val="left"/>
        <w:tblInd w:w="0" w:type="dxa"/>
        <w:tblLayout w:type="fixed"/>
        <w:tblCellMar>
          <w:top w:w="28" w:type="dxa"/>
          <w:left w:w="28" w:type="dxa"/>
          <w:bottom w:w="28" w:type="dxa"/>
          <w:right w:w="28" w:type="dxa"/>
        </w:tblCellMar>
      </w:tblPr>
      <w:tblGrid>
        <w:gridCol w:w="522"/>
        <w:gridCol w:w="459"/>
        <w:gridCol w:w="460"/>
        <w:gridCol w:w="1558"/>
        <w:gridCol w:w="1558"/>
        <w:gridCol w:w="2208"/>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00376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40"/>
              </w:rPr>
            </w:pPr>
            <w:r>
              <w:rPr>
                <w:rFonts w:ascii="Arial;sans-serif" w:hAnsi="Arial;sans-serif"/>
                <w:b/>
                <w:color w:val="FFFFFF"/>
                <w:sz w:val="40"/>
              </w:rPr>
              <w:t>PART I</w:t>
            </w:r>
          </w:p>
        </w:tc>
        <w:tc>
          <w:tcPr>
            <w:tcW w:w="5324" w:type="dxa"/>
            <w:gridSpan w:val="3"/>
            <w:tcBorders/>
            <w:shd w:fill="003768"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Arial;sans-serif" w:hAnsi="Arial;sans-serif"/>
                <w:b/>
                <w:color w:val="FFFFFF"/>
                <w:sz w:val="40"/>
              </w:rPr>
            </w:pPr>
            <w:r>
              <w:rPr>
                <w:rFonts w:ascii="Arial;sans-serif" w:hAnsi="Arial;sans-serif"/>
                <w:b/>
                <w:color w:val="FFFFFF"/>
                <w:sz w:val="40"/>
              </w:rPr>
              <w:t>FINANCIAL INFORMATION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38" w:type="dxa"/>
        <w:jc w:val="left"/>
        <w:tblInd w:w="0" w:type="dxa"/>
        <w:tblLayout w:type="fixed"/>
        <w:tblCellMar>
          <w:top w:w="28" w:type="dxa"/>
          <w:left w:w="28" w:type="dxa"/>
          <w:bottom w:w="28" w:type="dxa"/>
          <w:right w:w="28" w:type="dxa"/>
        </w:tblCellMar>
      </w:tblPr>
      <w:tblGrid>
        <w:gridCol w:w="467"/>
        <w:gridCol w:w="410"/>
        <w:gridCol w:w="412"/>
        <w:gridCol w:w="1097"/>
        <w:gridCol w:w="1097"/>
        <w:gridCol w:w="1555"/>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768"/>
                <w:sz w:val="36"/>
              </w:rPr>
            </w:pPr>
            <w:r>
              <w:rPr>
                <w:rFonts w:ascii="Arial;sans-serif" w:hAnsi="Arial;sans-serif"/>
                <w:b/>
                <w:color w:val="003768"/>
                <w:sz w:val="36"/>
              </w:rPr>
              <w:t>ITEM 1</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Condensed Consolidated Statements of Income (unaudited)</w:t>
      </w:r>
    </w:p>
    <w:tbl>
      <w:tblPr>
        <w:tblW w:w="9610" w:type="dxa"/>
        <w:jc w:val="left"/>
        <w:tblInd w:w="0" w:type="dxa"/>
        <w:tblLayout w:type="fixed"/>
        <w:tblCellMar>
          <w:top w:w="28" w:type="dxa"/>
          <w:left w:w="28" w:type="dxa"/>
          <w:bottom w:w="28" w:type="dxa"/>
          <w:right w:w="28" w:type="dxa"/>
        </w:tblCellMar>
      </w:tblPr>
      <w:tblGrid>
        <w:gridCol w:w="1644"/>
        <w:gridCol w:w="1445"/>
        <w:gridCol w:w="1456"/>
        <w:gridCol w:w="251"/>
        <w:gridCol w:w="931"/>
        <w:gridCol w:w="129"/>
        <w:gridCol w:w="251"/>
        <w:gridCol w:w="931"/>
        <w:gridCol w:w="129"/>
        <w:gridCol w:w="229"/>
        <w:gridCol w:w="850"/>
        <w:gridCol w:w="118"/>
        <w:gridCol w:w="229"/>
        <w:gridCol w:w="850"/>
        <w:gridCol w:w="167"/>
      </w:tblGrid>
      <w:tr>
        <w:trPr/>
        <w:tc>
          <w:tcPr>
            <w:tcW w:w="164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 except per share amounts)</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19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454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sales</w:t>
            </w:r>
          </w:p>
        </w:tc>
        <w:tc>
          <w:tcPr>
            <w:tcW w:w="2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1,711.8</w:t>
            </w:r>
            <w:r>
              <w:rPr>
                <w:color w:val="000000"/>
              </w:rPr>
              <w:t>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1,484.3</w:t>
            </w:r>
            <w:r>
              <w:rPr>
                <w:color w:val="000000"/>
              </w:rPr>
              <w:t> </w:t>
            </w:r>
          </w:p>
        </w:tc>
        <w:tc>
          <w:tcPr>
            <w:tcW w:w="12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3,228.5</w:t>
            </w:r>
            <w:r>
              <w:rPr>
                <w:color w:val="000000"/>
              </w:rPr>
              <w:t>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2,849.5</w:t>
            </w:r>
            <w:r>
              <w:rPr>
                <w:color w:val="000000"/>
              </w:rPr>
              <w:t> </w:t>
            </w:r>
          </w:p>
        </w:tc>
        <w:tc>
          <w:tcPr>
            <w:tcW w:w="167"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1,098.8 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2,110.2 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18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613.0</w:t>
            </w:r>
            <w:r>
              <w:rPr>
                <w:color w:val="000000"/>
              </w:rPr>
              <w:t>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552.1</w:t>
            </w:r>
            <w:r>
              <w:rPr>
                <w:color w:val="000000"/>
              </w:rPr>
              <w:t> </w:t>
            </w:r>
          </w:p>
        </w:tc>
        <w:tc>
          <w:tcPr>
            <w:tcW w:w="12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1,118.3</w:t>
            </w:r>
            <w:r>
              <w:rPr>
                <w:color w:val="000000"/>
              </w:rPr>
              <w:t>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994.7</w:t>
            </w:r>
            <w:r>
              <w:rPr>
                <w:color w:val="000000"/>
              </w:rPr>
              <w:t> </w:t>
            </w:r>
          </w:p>
        </w:tc>
        <w:tc>
          <w:tcPr>
            <w:tcW w:w="167"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&amp; administrative expenses</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505.9 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118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348.6</w:t>
            </w:r>
            <w:r>
              <w:rPr>
                <w:color w:val="000000"/>
              </w:rPr>
              <w:t>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336.3</w:t>
            </w:r>
            <w:r>
              <w:rPr>
                <w:color w:val="000000"/>
              </w:rPr>
              <w:t> </w:t>
            </w:r>
          </w:p>
        </w:tc>
        <w:tc>
          <w:tcPr>
            <w:tcW w:w="12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612.4</w:t>
            </w:r>
            <w:r>
              <w:rPr>
                <w:color w:val="000000"/>
              </w:rPr>
              <w:t>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566.7</w:t>
            </w:r>
            <w:r>
              <w:rPr>
                <w:color w:val="000000"/>
              </w:rPr>
              <w:t> </w:t>
            </w:r>
          </w:p>
        </w:tc>
        <w:tc>
          <w:tcPr>
            <w:tcW w:w="167"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w:t>
            </w:r>
          </w:p>
        </w:tc>
        <w:tc>
          <w:tcPr>
            <w:tcW w:w="167"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Loss on disposition of business </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2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7"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 net</w:t>
            </w:r>
          </w:p>
        </w:tc>
        <w:tc>
          <w:tcPr>
            <w:tcW w:w="118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2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w:t>
            </w:r>
          </w:p>
        </w:tc>
        <w:tc>
          <w:tcPr>
            <w:tcW w:w="167"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303.7</w:t>
            </w:r>
            <w:r>
              <w:rPr>
                <w:color w:val="000000"/>
              </w:rPr>
              <w:t>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315.2</w:t>
            </w:r>
            <w:r>
              <w:rPr>
                <w:color w:val="000000"/>
              </w:rPr>
              <w:t> </w:t>
            </w:r>
          </w:p>
        </w:tc>
        <w:tc>
          <w:tcPr>
            <w:tcW w:w="12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540.1</w:t>
            </w:r>
            <w:r>
              <w:rPr>
                <w:color w:val="000000"/>
              </w:rPr>
              <w:t>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526.5</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2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116.5 </w:t>
            </w:r>
          </w:p>
        </w:tc>
        <w:tc>
          <w:tcPr>
            <w:tcW w:w="167"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Net income </w:t>
            </w:r>
          </w:p>
        </w:tc>
        <w:tc>
          <w:tcPr>
            <w:tcW w:w="118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242.2</w:t>
            </w:r>
            <w:r>
              <w:rPr>
                <w:color w:val="000000"/>
              </w:rPr>
              <w:t>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245.5</w:t>
            </w:r>
            <w:r>
              <w:rPr>
                <w:color w:val="000000"/>
              </w:rPr>
              <w:t> </w:t>
            </w:r>
          </w:p>
        </w:tc>
        <w:tc>
          <w:tcPr>
            <w:tcW w:w="12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425.2</w:t>
            </w:r>
            <w:r>
              <w:rPr>
                <w:color w:val="000000"/>
              </w:rPr>
              <w:t>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410.0</w:t>
            </w:r>
            <w:r>
              <w:rPr>
                <w:color w:val="000000"/>
              </w:rPr>
              <w:t> </w:t>
            </w:r>
          </w:p>
        </w:tc>
        <w:tc>
          <w:tcPr>
            <w:tcW w:w="16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w:t>
            </w:r>
          </w:p>
        </w:tc>
        <w:tc>
          <w:tcPr>
            <w:tcW w:w="25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2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67"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Hubbell Incorporated</w:t>
            </w:r>
          </w:p>
        </w:tc>
        <w:tc>
          <w:tcPr>
            <w:tcW w:w="2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240.4</w:t>
            </w:r>
            <w:r>
              <w:rPr>
                <w:color w:val="000000"/>
              </w:rPr>
              <w:t>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244.2</w:t>
            </w:r>
            <w:r>
              <w:rPr>
                <w:color w:val="000000"/>
              </w:rPr>
              <w:t> </w:t>
            </w:r>
          </w:p>
        </w:tc>
        <w:tc>
          <w:tcPr>
            <w:tcW w:w="12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422.2</w:t>
            </w:r>
            <w:r>
              <w:rPr>
                <w:color w:val="000000"/>
              </w:rPr>
              <w:t>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407.4</w:t>
            </w:r>
            <w:r>
              <w:rPr>
                <w:color w:val="000000"/>
              </w:rPr>
              <w:t> </w:t>
            </w:r>
          </w:p>
        </w:tc>
        <w:tc>
          <w:tcPr>
            <w:tcW w:w="16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w:t>
            </w:r>
          </w:p>
        </w:tc>
        <w:tc>
          <w:tcPr>
            <w:tcW w:w="1311"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7"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25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2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7.62 </w:t>
            </w:r>
          </w:p>
        </w:tc>
        <w:tc>
          <w:tcPr>
            <w:tcW w:w="167"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share </w:t>
            </w:r>
          </w:p>
        </w:tc>
        <w:tc>
          <w:tcPr>
            <w:tcW w:w="251"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29"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FFFFFF"/>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FFFFFF"/>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29" w:type="dxa"/>
            <w:tcBorders>
              <w:top w:val="single" w:sz="4" w:space="0" w:color="FFFFFF"/>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118"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67"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Arial;sans-serif" w:hAnsi="Arial;sans-serif"/>
          <w:b w:val="false"/>
          <w:i/>
          <w:color w:val="000000"/>
          <w:sz w:val="16"/>
        </w:rPr>
      </w:pPr>
      <w:r>
        <w:rPr>
          <w:rFonts w:ascii="Arial;sans-serif" w:hAnsi="Arial;sans-serif"/>
          <w:b w:val="false"/>
          <w:i/>
          <w:color w:val="000000"/>
          <w:sz w:val="16"/>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Condensed Consolidated Statements of Comprehensive Income (unaudited)</w:t>
      </w:r>
    </w:p>
    <w:p>
      <w:pPr>
        <w:pStyle w:val="TextBody"/>
        <w:bidi w:val="0"/>
        <w:spacing w:lineRule="auto" w:line="288" w:before="0" w:after="0"/>
        <w:jc w:val="left"/>
        <w:rPr>
          <w:color w:val="000000"/>
        </w:rPr>
      </w:pPr>
      <w:r>
        <w:rPr>
          <w:color w:val="000000"/>
        </w:rPr>
        <w:t> </w:t>
      </w:r>
    </w:p>
    <w:tbl>
      <w:tblPr>
        <w:tblW w:w="9748" w:type="dxa"/>
        <w:jc w:val="left"/>
        <w:tblInd w:w="0" w:type="dxa"/>
        <w:tblLayout w:type="fixed"/>
        <w:tblCellMar>
          <w:top w:w="28" w:type="dxa"/>
          <w:left w:w="28" w:type="dxa"/>
          <w:bottom w:w="28" w:type="dxa"/>
          <w:right w:w="28" w:type="dxa"/>
        </w:tblCellMar>
      </w:tblPr>
      <w:tblGrid>
        <w:gridCol w:w="2470"/>
        <w:gridCol w:w="2166"/>
        <w:gridCol w:w="2188"/>
        <w:gridCol w:w="317"/>
        <w:gridCol w:w="948"/>
        <w:gridCol w:w="163"/>
        <w:gridCol w:w="317"/>
        <w:gridCol w:w="948"/>
        <w:gridCol w:w="231"/>
      </w:tblGrid>
      <w:tr>
        <w:trPr/>
        <w:tc>
          <w:tcPr>
            <w:tcW w:w="2470"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42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4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682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1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242.2</w:t>
            </w:r>
            <w:r>
              <w:rPr>
                <w:color w:val="000000"/>
              </w:rPr>
              <w:t> </w:t>
            </w:r>
          </w:p>
        </w:tc>
        <w:tc>
          <w:tcPr>
            <w:tcW w:w="16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245.5</w:t>
            </w:r>
            <w:r>
              <w:rPr>
                <w:color w:val="000000"/>
              </w:rPr>
              <w:t> </w:t>
            </w:r>
          </w:p>
        </w:tc>
        <w:tc>
          <w:tcPr>
            <w:tcW w:w="23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1428"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2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6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23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Defined benefit pension and post-retirement plans, net of taxes of $(0.5) and $(0.6)</w:t>
            </w:r>
          </w:p>
        </w:tc>
        <w:tc>
          <w:tcPr>
            <w:tcW w:w="12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6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 on investments, net of taxes of $0.0 and $(0.1)</w:t>
            </w:r>
          </w:p>
        </w:tc>
        <w:tc>
          <w:tcPr>
            <w:tcW w:w="12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3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loss on cash flow hedges, net of taxes of $(0.2) and $0.4</w:t>
            </w:r>
          </w:p>
        </w:tc>
        <w:tc>
          <w:tcPr>
            <w:tcW w:w="12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w:t>
            </w:r>
          </w:p>
        </w:tc>
        <w:tc>
          <w:tcPr>
            <w:tcW w:w="126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16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32.3</w:t>
            </w:r>
            <w:r>
              <w:rPr>
                <w:color w:val="000000"/>
              </w:rPr>
              <w:t> </w:t>
            </w:r>
          </w:p>
        </w:tc>
        <w:tc>
          <w:tcPr>
            <w:tcW w:w="23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126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247.2</w:t>
            </w:r>
            <w:r>
              <w:rPr>
                <w:color w:val="000000"/>
              </w:rPr>
              <w:t> </w:t>
            </w:r>
          </w:p>
        </w:tc>
        <w:tc>
          <w:tcPr>
            <w:tcW w:w="16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277.8</w:t>
            </w:r>
            <w:r>
              <w:rPr>
                <w:color w:val="000000"/>
              </w:rPr>
              <w:t> </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Comprehensive income attributable to noncontrolling interest</w:t>
            </w:r>
          </w:p>
        </w:tc>
        <w:tc>
          <w:tcPr>
            <w:tcW w:w="126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6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3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 attributable to Hubbell Incorporated</w:t>
            </w:r>
          </w:p>
        </w:tc>
        <w:tc>
          <w:tcPr>
            <w:tcW w:w="31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245.4</w:t>
            </w:r>
            <w:r>
              <w:rPr>
                <w:color w:val="000000"/>
              </w:rPr>
              <w:t> </w:t>
            </w:r>
          </w:p>
        </w:tc>
        <w:tc>
          <w:tcPr>
            <w:tcW w:w="16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276.5</w:t>
            </w:r>
            <w:r>
              <w:rPr>
                <w:color w:val="000000"/>
              </w:rPr>
              <w:t> </w:t>
            </w:r>
          </w:p>
        </w:tc>
        <w:tc>
          <w:tcPr>
            <w:tcW w:w="23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Arial;sans-serif" w:hAnsi="Arial;sans-serif"/>
          <w:b w:val="false"/>
          <w:i/>
          <w:color w:val="000000"/>
          <w:sz w:val="16"/>
        </w:rPr>
      </w:pPr>
      <w:r>
        <w:rPr>
          <w:rFonts w:ascii="Arial;sans-serif" w:hAnsi="Arial;sans-serif"/>
          <w:b w:val="false"/>
          <w:i/>
          <w:color w:val="000000"/>
          <w:sz w:val="16"/>
        </w:rPr>
        <w:t>See notes to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2470"/>
        <w:gridCol w:w="2166"/>
        <w:gridCol w:w="2188"/>
        <w:gridCol w:w="289"/>
        <w:gridCol w:w="865"/>
        <w:gridCol w:w="149"/>
        <w:gridCol w:w="289"/>
        <w:gridCol w:w="865"/>
        <w:gridCol w:w="241"/>
      </w:tblGrid>
      <w:tr>
        <w:trPr/>
        <w:tc>
          <w:tcPr>
            <w:tcW w:w="2470"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3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682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425.2</w:t>
            </w:r>
            <w:r>
              <w:rPr>
                <w:color w:val="000000"/>
              </w:rPr>
              <w:t>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5"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410.0</w:t>
            </w:r>
            <w:r>
              <w:rPr>
                <w:color w:val="000000"/>
              </w:rPr>
              <w:t> </w:t>
            </w:r>
          </w:p>
        </w:tc>
        <w:tc>
          <w:tcPr>
            <w:tcW w:w="24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1303"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1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24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Defined benefit pension and post-retirement plans, net of taxes of $(1.5) and $(1.3)</w:t>
            </w:r>
          </w:p>
        </w:tc>
        <w:tc>
          <w:tcPr>
            <w:tcW w:w="11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(loss) gain on investments, net of taxes of $0.1 and $(0.2)</w:t>
            </w:r>
          </w:p>
        </w:tc>
        <w:tc>
          <w:tcPr>
            <w:tcW w:w="11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4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 (loss) on cash flow hedges, net of taxes of $(0.4) and $0.5</w:t>
            </w:r>
          </w:p>
        </w:tc>
        <w:tc>
          <w:tcPr>
            <w:tcW w:w="11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w:t>
            </w:r>
          </w:p>
        </w:tc>
        <w:tc>
          <w:tcPr>
            <w:tcW w:w="115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w:t>
            </w:r>
            <w:r>
              <w:rPr>
                <w:color w:val="000000"/>
              </w:rPr>
              <w:t>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w:t>
            </w:r>
            <w:r>
              <w:rPr>
                <w:color w:val="000000"/>
              </w:rPr>
              <w:t> </w:t>
            </w:r>
          </w:p>
        </w:tc>
        <w:tc>
          <w:tcPr>
            <w:tcW w:w="24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115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430.8</w:t>
            </w:r>
            <w:r>
              <w:rPr>
                <w:color w:val="000000"/>
              </w:rPr>
              <w:t>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461.8</w:t>
            </w:r>
            <w:r>
              <w:rPr>
                <w:color w:val="000000"/>
              </w:rPr>
              <w:t> </w:t>
            </w:r>
          </w:p>
        </w:tc>
        <w:tc>
          <w:tcPr>
            <w:tcW w:w="24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Comprehensive income attributable to noncontrolling interest</w:t>
            </w:r>
          </w:p>
        </w:tc>
        <w:tc>
          <w:tcPr>
            <w:tcW w:w="115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4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 attributable to Hubbell Incorporated</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427.8</w:t>
            </w:r>
            <w:r>
              <w:rPr>
                <w:color w:val="000000"/>
              </w:rPr>
              <w:t>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459.2</w:t>
            </w:r>
            <w:r>
              <w:rPr>
                <w:color w:val="000000"/>
              </w:rPr>
              <w:t> </w:t>
            </w:r>
          </w:p>
        </w:tc>
        <w:tc>
          <w:tcPr>
            <w:tcW w:w="24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r>
      <w:tr>
        <w:trPr/>
        <w:tc>
          <w:tcPr>
            <w:tcW w:w="68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See notes to unaudited Condensed Consolidated Financial Statements.</w:t>
            </w:r>
          </w:p>
        </w:tc>
        <w:tc>
          <w:tcPr>
            <w:tcW w:w="13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Arial;sans-serif" w:hAnsi="Arial;sans-serif"/>
          <w:b w:val="false"/>
          <w:i/>
          <w:color w:val="FFFFFF"/>
          <w:sz w:val="16"/>
        </w:rPr>
      </w:pPr>
      <w:r>
        <w:rPr>
          <w:rFonts w:ascii="Arial;sans-serif" w:hAnsi="Arial;sans-serif"/>
          <w:b w:val="false"/>
          <w:i/>
          <w:color w:val="FFFFFF"/>
          <w:sz w:val="16"/>
        </w:rPr>
        <w:t>See notes to unaudited Condensed Consolidated Financial Statements.s to unaudited Condensed Consolidated Financial Statements.</w:t>
      </w:r>
    </w:p>
    <w:p>
      <w:pPr>
        <w:pStyle w:val="TextBody"/>
        <w:bidi w:val="0"/>
        <w:spacing w:lineRule="auto" w:line="288" w:before="0" w:after="0"/>
        <w:ind w:left="0" w:right="0" w:firstLine="45"/>
        <w:jc w:val="left"/>
        <w:rPr>
          <w:rFonts w:ascii="Arial;sans-serif" w:hAnsi="Arial;sans-serif"/>
          <w:b w:val="false"/>
          <w:i/>
          <w:color w:val="FFFFFF"/>
          <w:sz w:val="16"/>
        </w:rPr>
      </w:pPr>
      <w:r>
        <w:rPr>
          <w:rFonts w:ascii="Arial;sans-serif" w:hAnsi="Arial;sans-serif"/>
          <w:b w:val="false"/>
          <w:i/>
          <w:color w:val="FFFFFF"/>
          <w:sz w:val="16"/>
        </w:rPr>
        <w:t>See notes to unaudited Condensed Consolidated Financial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Condensed Consolidated Balance Sheets (unaudited)</w:t>
      </w:r>
    </w:p>
    <w:p>
      <w:pPr>
        <w:pStyle w:val="TextBody"/>
        <w:bidi w:val="0"/>
        <w:spacing w:lineRule="auto" w:line="288" w:before="0" w:after="0"/>
        <w:jc w:val="left"/>
        <w:rPr>
          <w:color w:val="000000"/>
        </w:rPr>
      </w:pPr>
      <w:r>
        <w:rPr>
          <w:color w:val="000000"/>
        </w:rPr>
        <w:t> </w:t>
      </w:r>
    </w:p>
    <w:tbl>
      <w:tblPr>
        <w:tblW w:w="8189" w:type="dxa"/>
        <w:jc w:val="left"/>
        <w:tblInd w:w="0" w:type="dxa"/>
        <w:tblLayout w:type="fixed"/>
        <w:tblCellMar>
          <w:top w:w="28" w:type="dxa"/>
          <w:left w:w="28" w:type="dxa"/>
          <w:bottom w:w="28" w:type="dxa"/>
          <w:right w:w="28" w:type="dxa"/>
        </w:tblCellMar>
      </w:tblPr>
      <w:tblGrid>
        <w:gridCol w:w="1783"/>
        <w:gridCol w:w="1569"/>
        <w:gridCol w:w="1583"/>
        <w:gridCol w:w="238"/>
        <w:gridCol w:w="1003"/>
        <w:gridCol w:w="123"/>
        <w:gridCol w:w="306"/>
        <w:gridCol w:w="1133"/>
        <w:gridCol w:w="451"/>
      </w:tblGrid>
      <w:tr>
        <w:trPr/>
        <w:tc>
          <w:tcPr>
            <w:tcW w:w="178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i/>
                <w:color w:val="000000"/>
                <w:sz w:val="18"/>
              </w:rPr>
            </w:pPr>
            <w:r>
              <w:rPr>
                <w:rFonts w:ascii="Arial;sans-serif" w:hAnsi="Arial;sans-serif"/>
                <w:b/>
                <w:i/>
                <w:color w:val="000000"/>
                <w:sz w:val="18"/>
              </w:rPr>
              <w:t>(in millions)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June 30, 2026</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December 31, 2025</w:t>
            </w:r>
          </w:p>
        </w:tc>
      </w:tr>
      <w:tr>
        <w:trPr/>
        <w:tc>
          <w:tcPr>
            <w:tcW w:w="49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364"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35" w:type="dxa"/>
            <w:gridSpan w:val="3"/>
            <w:tcBorders>
              <w:top w:val="single" w:sz="8" w:space="0" w:color="E7E7E8"/>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364"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0" w:type="dxa"/>
            <w:gridSpan w:val="3"/>
            <w:tcBorders>
              <w:top w:val="single" w:sz="8" w:space="0" w:color="E7E7E8"/>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35" w:type="dxa"/>
            <w:gridSpan w:val="3"/>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38"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378.6 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482.5 </w:t>
            </w:r>
          </w:p>
        </w:tc>
        <w:tc>
          <w:tcPr>
            <w:tcW w:w="451" w:type="dxa"/>
            <w:tcBorders>
              <w:top w:val="single" w:sz="8" w:space="0" w:color="E7E7E8"/>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E7E7E8"/>
            </w:tcBorders>
            <w:tcMar>
              <w:top w:w="52"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451" w:type="dxa"/>
            <w:tcBorders>
              <w:top w:val="single" w:sz="8" w:space="0" w:color="E7E7E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allowances of $17.0 and $13.9)</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1,150.9 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856.9 </w:t>
            </w:r>
          </w:p>
        </w:tc>
        <w:tc>
          <w:tcPr>
            <w:tcW w:w="451" w:type="dxa"/>
            <w:tcBorders>
              <w:top w:val="single" w:sz="8" w:space="0" w:color="E7E7E8"/>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E7E7E8"/>
            </w:tcBorders>
            <w:tcMar>
              <w:top w:w="52"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Inventories, net</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1,267.5 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1,083.8 </w:t>
            </w:r>
          </w:p>
        </w:tc>
        <w:tc>
          <w:tcPr>
            <w:tcW w:w="451" w:type="dxa"/>
            <w:tcBorders>
              <w:top w:val="single" w:sz="8" w:space="0" w:color="E7E7E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assets</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155.4 </w:t>
            </w:r>
          </w:p>
        </w:tc>
        <w:tc>
          <w:tcPr>
            <w:tcW w:w="451" w:type="dxa"/>
            <w:tcBorders>
              <w:top w:val="single" w:sz="8" w:space="0" w:color="E7E7E8"/>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41"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3,010.3 </w:t>
            </w:r>
          </w:p>
        </w:tc>
        <w:tc>
          <w:tcPr>
            <w:tcW w:w="12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2,594.0 </w:t>
            </w:r>
          </w:p>
        </w:tc>
        <w:tc>
          <w:tcPr>
            <w:tcW w:w="45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Plant, and Equipment, net</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902.4</w:t>
            </w:r>
            <w:r>
              <w:rPr>
                <w:color w:val="000000"/>
              </w:rPr>
              <w:t>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841.2</w:t>
            </w:r>
            <w:r>
              <w:rPr>
                <w:color w:val="000000"/>
              </w:rPr>
              <w:t> </w:t>
            </w:r>
          </w:p>
        </w:tc>
        <w:tc>
          <w:tcPr>
            <w:tcW w:w="451" w:type="dxa"/>
            <w:tcBorders>
              <w:top w:val="single" w:sz="8" w:space="0" w:color="E7E7E8"/>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Assets</w:t>
            </w:r>
          </w:p>
        </w:tc>
        <w:tc>
          <w:tcPr>
            <w:tcW w:w="1364"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color w:val="000000"/>
              </w:rPr>
            </w:pPr>
            <w:r>
              <w:rPr>
                <w:color w:val="000000"/>
              </w:rPr>
              <w:t> </w:t>
            </w:r>
          </w:p>
        </w:tc>
      </w:tr>
      <w:tr>
        <w:trPr/>
        <w:tc>
          <w:tcPr>
            <w:tcW w:w="4935" w:type="dxa"/>
            <w:gridSpan w:val="3"/>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451" w:type="dxa"/>
            <w:tcBorders>
              <w:top w:val="single" w:sz="8" w:space="0" w:color="E7E7E8"/>
            </w:tcBorders>
            <w:shd w:fill="E7E7E8"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5" w:type="dxa"/>
            <w:gridSpan w:val="3"/>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4,354.1 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3,060.8 </w:t>
            </w:r>
          </w:p>
        </w:tc>
        <w:tc>
          <w:tcPr>
            <w:tcW w:w="451" w:type="dxa"/>
            <w:tcBorders>
              <w:top w:val="single" w:sz="8" w:space="0" w:color="E7E7E8"/>
            </w:tcBorders>
            <w:shd w:fill="FFFF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5" w:type="dxa"/>
            <w:gridSpan w:val="3"/>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3,189.9 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1,394.3 </w:t>
            </w:r>
          </w:p>
        </w:tc>
        <w:tc>
          <w:tcPr>
            <w:tcW w:w="451" w:type="dxa"/>
            <w:tcBorders>
              <w:top w:val="single" w:sz="8" w:space="0" w:color="E7E7E8"/>
            </w:tcBorders>
            <w:shd w:fill="E7E7E8"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5" w:type="dxa"/>
            <w:gridSpan w:val="3"/>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240.1 </w:t>
            </w:r>
          </w:p>
        </w:tc>
        <w:tc>
          <w:tcPr>
            <w:tcW w:w="451" w:type="dxa"/>
            <w:tcBorders>
              <w:top w:val="single" w:sz="8" w:space="0" w:color="E7E7E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3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03"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11,846.2</w:t>
            </w:r>
            <w:r>
              <w:rPr>
                <w:color w:val="000000"/>
              </w:rPr>
              <w:t> </w:t>
            </w:r>
          </w:p>
        </w:tc>
        <w:tc>
          <w:tcPr>
            <w:tcW w:w="12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3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8,228.8</w:t>
            </w:r>
            <w:r>
              <w:rPr>
                <w:color w:val="000000"/>
              </w:rPr>
              <w:t> </w:t>
            </w:r>
          </w:p>
        </w:tc>
        <w:tc>
          <w:tcPr>
            <w:tcW w:w="45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EQUITY</w:t>
            </w:r>
          </w:p>
        </w:tc>
        <w:tc>
          <w:tcPr>
            <w:tcW w:w="1364"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3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364"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ind w:left="0" w:right="0" w:firstLine="180"/>
              <w:jc w:val="right"/>
              <w:rPr>
                <w:color w:val="000000"/>
              </w:rPr>
            </w:pPr>
            <w:r>
              <w:rPr>
                <w:color w:val="000000"/>
              </w:rPr>
              <w:t> </w:t>
            </w:r>
          </w:p>
        </w:tc>
      </w:tr>
      <w:tr>
        <w:trPr/>
        <w:tc>
          <w:tcPr>
            <w:tcW w:w="4935" w:type="dxa"/>
            <w:gridSpan w:val="3"/>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238"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289.1 </w:t>
            </w:r>
          </w:p>
        </w:tc>
        <w:tc>
          <w:tcPr>
            <w:tcW w:w="451" w:type="dxa"/>
            <w:tcBorders>
              <w:top w:val="single" w:sz="8" w:space="0" w:color="E7E7E8"/>
            </w:tcBorders>
            <w:shd w:fill="FFFF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5" w:type="dxa"/>
            <w:gridSpan w:val="3"/>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650.5 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570.5 </w:t>
            </w:r>
          </w:p>
        </w:tc>
        <w:tc>
          <w:tcPr>
            <w:tcW w:w="451" w:type="dxa"/>
            <w:tcBorders>
              <w:top w:val="single" w:sz="8" w:space="0" w:color="E7E7E8"/>
            </w:tcBorders>
            <w:shd w:fill="E7E7E8"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5" w:type="dxa"/>
            <w:gridSpan w:val="3"/>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salaries, wages and employee benefits</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451" w:type="dxa"/>
            <w:tcBorders>
              <w:top w:val="single" w:sz="8" w:space="0" w:color="E7E7E8"/>
            </w:tcBorders>
            <w:shd w:fill="FFFF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5" w:type="dxa"/>
            <w:gridSpan w:val="3"/>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insurance</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451" w:type="dxa"/>
            <w:tcBorders>
              <w:top w:val="single" w:sz="8" w:space="0" w:color="E7E7E8"/>
            </w:tcBorders>
            <w:shd w:fill="E7E7E8"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5" w:type="dxa"/>
            <w:gridSpan w:val="3"/>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449.3 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450.7 </w:t>
            </w:r>
          </w:p>
        </w:tc>
        <w:tc>
          <w:tcPr>
            <w:tcW w:w="451" w:type="dxa"/>
            <w:tcBorders>
              <w:top w:val="single" w:sz="8" w:space="0" w:color="E7E7E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41"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1,870.5 </w:t>
            </w:r>
          </w:p>
        </w:tc>
        <w:tc>
          <w:tcPr>
            <w:tcW w:w="12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1,508.7 </w:t>
            </w:r>
          </w:p>
        </w:tc>
        <w:tc>
          <w:tcPr>
            <w:tcW w:w="45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Long-Term Debt</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4,803.9</w:t>
            </w:r>
            <w:r>
              <w:rPr>
                <w:color w:val="000000"/>
              </w:rPr>
              <w:t>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2,036.3</w:t>
            </w: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5" w:type="dxa"/>
            <w:gridSpan w:val="3"/>
            <w:tcBorders>
              <w:top w:val="single" w:sz="8" w:space="0" w:color="E7E7E8"/>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816.0 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420.1 </w:t>
            </w:r>
          </w:p>
        </w:tc>
        <w:tc>
          <w:tcPr>
            <w:tcW w:w="45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Non-Current Liabilities</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432.8</w:t>
            </w:r>
            <w:r>
              <w:rPr>
                <w:color w:val="000000"/>
              </w:rPr>
              <w:t>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405.8</w:t>
            </w: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241"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7,923.2</w:t>
            </w:r>
            <w:r>
              <w:rPr>
                <w:color w:val="000000"/>
              </w:rPr>
              <w:t> </w:t>
            </w:r>
          </w:p>
        </w:tc>
        <w:tc>
          <w:tcPr>
            <w:tcW w:w="12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4,370.9</w:t>
            </w:r>
            <w:r>
              <w:rPr>
                <w:color w:val="000000"/>
              </w:rPr>
              <w:t> </w:t>
            </w:r>
          </w:p>
        </w:tc>
        <w:tc>
          <w:tcPr>
            <w:tcW w:w="45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15)</w:t>
            </w:r>
          </w:p>
        </w:tc>
        <w:tc>
          <w:tcPr>
            <w:tcW w:w="1364"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Hubbell Incorporated Shareholders’ Equity</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3,911.9 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3,847.9 </w:t>
            </w:r>
          </w:p>
        </w:tc>
        <w:tc>
          <w:tcPr>
            <w:tcW w:w="45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E7E7E8"/>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2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EQUITY</w:t>
            </w:r>
          </w:p>
        </w:tc>
        <w:tc>
          <w:tcPr>
            <w:tcW w:w="1241"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3,923.0</w:t>
            </w:r>
            <w:r>
              <w:rPr>
                <w:color w:val="000000"/>
              </w:rPr>
              <w:t> </w:t>
            </w:r>
          </w:p>
        </w:tc>
        <w:tc>
          <w:tcPr>
            <w:tcW w:w="12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3,857.9</w:t>
            </w:r>
            <w:r>
              <w:rPr>
                <w:color w:val="000000"/>
              </w:rPr>
              <w:t> </w:t>
            </w:r>
          </w:p>
        </w:tc>
        <w:tc>
          <w:tcPr>
            <w:tcW w:w="45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23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0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11,846.2</w:t>
            </w:r>
            <w:r>
              <w:rPr>
                <w:color w:val="000000"/>
              </w:rPr>
              <w:t> </w:t>
            </w:r>
          </w:p>
        </w:tc>
        <w:tc>
          <w:tcPr>
            <w:tcW w:w="12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3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8,228.8</w:t>
            </w:r>
            <w:r>
              <w:rPr>
                <w:color w:val="000000"/>
              </w:rPr>
              <w:t> </w:t>
            </w:r>
          </w:p>
        </w:tc>
        <w:tc>
          <w:tcPr>
            <w:tcW w:w="4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Arial;sans-serif" w:hAnsi="Arial;sans-serif"/>
          <w:b w:val="false"/>
          <w:i/>
          <w:color w:val="000000"/>
          <w:sz w:val="16"/>
        </w:rPr>
      </w:pPr>
      <w:r>
        <w:rPr>
          <w:rFonts w:ascii="Arial;sans-serif" w:hAnsi="Arial;sans-serif"/>
          <w:b w:val="false"/>
          <w:i/>
          <w:color w:val="000000"/>
          <w:sz w:val="16"/>
        </w:rPr>
        <w:t>See notes to unaudited Condensed Consolidated Financial Statements.</w:t>
      </w:r>
    </w:p>
    <w:p>
      <w:pPr>
        <w:pStyle w:val="TextBody"/>
        <w:bidi w:val="0"/>
        <w:spacing w:before="0" w:after="0"/>
        <w:ind w:left="0" w:right="0" w:firstLine="45"/>
        <w:jc w:val="left"/>
        <w:rPr/>
      </w:pPr>
      <w:r>
        <w:rPr/>
      </w:r>
    </w:p>
    <w:p>
      <w:pPr>
        <w:pStyle w:val="TextBody"/>
        <w:bidi w:val="0"/>
        <w:spacing w:before="0" w:after="0"/>
        <w:ind w:left="0" w:right="0" w:firstLine="45"/>
        <w:jc w:val="left"/>
        <w:rPr/>
      </w:pPr>
      <w:r>
        <w:rPr/>
      </w:r>
    </w:p>
    <w:p>
      <w:pPr>
        <w:pStyle w:val="TextBody"/>
        <w:bidi w:val="0"/>
        <w:spacing w:before="0" w:after="0"/>
        <w:ind w:left="0" w:right="0" w:firstLine="4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Condensed Consolidated Statements of Cash Flows (unaudited)</w:t>
      </w:r>
    </w:p>
    <w:tbl>
      <w:tblPr>
        <w:tblW w:w="9058" w:type="dxa"/>
        <w:jc w:val="left"/>
        <w:tblInd w:w="0" w:type="dxa"/>
        <w:tblLayout w:type="fixed"/>
        <w:tblCellMar>
          <w:top w:w="28" w:type="dxa"/>
          <w:left w:w="28" w:type="dxa"/>
          <w:bottom w:w="28" w:type="dxa"/>
          <w:right w:w="28" w:type="dxa"/>
        </w:tblCellMar>
      </w:tblPr>
      <w:tblGrid>
        <w:gridCol w:w="2399"/>
        <w:gridCol w:w="2102"/>
        <w:gridCol w:w="2114"/>
        <w:gridCol w:w="269"/>
        <w:gridCol w:w="785"/>
        <w:gridCol w:w="139"/>
        <w:gridCol w:w="269"/>
        <w:gridCol w:w="785"/>
        <w:gridCol w:w="196"/>
      </w:tblGrid>
      <w:tr>
        <w:trPr/>
        <w:tc>
          <w:tcPr>
            <w:tcW w:w="2399"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19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5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661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Cash Flows from Operating Activities </w:t>
            </w:r>
          </w:p>
        </w:tc>
        <w:tc>
          <w:tcPr>
            <w:tcW w:w="1193"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6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425.2 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93"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Deferred income taxes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Stock-based compensation</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Loss on disposition of business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Loss (gain) on sale of assets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 excluding effects of acquisitions:</w:t>
            </w:r>
          </w:p>
        </w:tc>
        <w:tc>
          <w:tcPr>
            <w:tcW w:w="1193"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Increase in accounts receivable, net</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Increase in inventories, net</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Increase (decrease) in accounts payable</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Decrease in current liabilities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Changes in other assets and liabilities, net</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 to qualified defined benefit pension plans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Net cash provided by operating activities </w:t>
            </w:r>
          </w:p>
        </w:tc>
        <w:tc>
          <w:tcPr>
            <w:tcW w:w="105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336.4</w:t>
            </w:r>
            <w:r>
              <w:rPr>
                <w:color w:val="000000"/>
              </w:rPr>
              <w:t> </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298.0</w:t>
            </w:r>
            <w:r>
              <w:rPr>
                <w:color w:val="000000"/>
              </w:rPr>
              <w:t> </w:t>
            </w:r>
          </w:p>
        </w:tc>
        <w:tc>
          <w:tcPr>
            <w:tcW w:w="19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Cash Flows from Investing Activities </w:t>
            </w:r>
          </w:p>
        </w:tc>
        <w:tc>
          <w:tcPr>
            <w:tcW w:w="1193"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acquired</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(3,005.7)</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disposal of business, net of cash</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available-for-sale investments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available-for-sale investments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05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(3,086.6)</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(140.6)</w:t>
            </w:r>
          </w:p>
        </w:tc>
        <w:tc>
          <w:tcPr>
            <w:tcW w:w="19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Cash Flows from Financing Activities </w:t>
            </w:r>
          </w:p>
        </w:tc>
        <w:tc>
          <w:tcPr>
            <w:tcW w:w="1193"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long-term debt</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2,787.5 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 of short-term debt, net</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279.6 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dividends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common shares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(used in) by financing activities</w:t>
            </w:r>
          </w:p>
        </w:tc>
        <w:tc>
          <w:tcPr>
            <w:tcW w:w="105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2,651.7</w:t>
            </w:r>
            <w:r>
              <w:rPr>
                <w:color w:val="000000"/>
              </w:rPr>
              <w:t> </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(117.5)</w:t>
            </w:r>
          </w:p>
        </w:tc>
        <w:tc>
          <w:tcPr>
            <w:tcW w:w="19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(Decrease) increase in cash and cash equivalents</w:t>
            </w:r>
          </w:p>
        </w:tc>
        <w:tc>
          <w:tcPr>
            <w:tcW w:w="105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(99.7)</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53.0</w:t>
            </w:r>
            <w:r>
              <w:rPr>
                <w:color w:val="000000"/>
              </w:rPr>
              <w:t> </w:t>
            </w:r>
          </w:p>
        </w:tc>
        <w:tc>
          <w:tcPr>
            <w:tcW w:w="19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year</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included in other assets, beginning of year</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Restricted cash, included in Other Assets</w:t>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26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378.6 </w:t>
            </w:r>
          </w:p>
        </w:tc>
        <w:tc>
          <w:tcPr>
            <w:tcW w:w="13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382.6 </w:t>
            </w:r>
          </w:p>
        </w:tc>
        <w:tc>
          <w:tcPr>
            <w:tcW w:w="196"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Arial;sans-serif" w:hAnsi="Arial;sans-serif"/>
          <w:b w:val="false"/>
          <w:i/>
          <w:color w:val="000000"/>
          <w:sz w:val="16"/>
        </w:rPr>
      </w:pPr>
      <w:r>
        <w:rPr>
          <w:rFonts w:ascii="Arial;sans-serif" w:hAnsi="Arial;sans-serif"/>
          <w:b w:val="false"/>
          <w:i/>
          <w:color w:val="000000"/>
          <w:sz w:val="16"/>
        </w:rPr>
        <w:t>See notes to unaudited Condensed Consolidated Financial Statements.</w:t>
      </w:r>
    </w:p>
    <w:p>
      <w:pPr>
        <w:pStyle w:val="TextBody"/>
        <w:bidi w:val="0"/>
        <w:spacing w:before="0" w:after="0"/>
        <w:ind w:left="0" w:right="0" w:firstLine="4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6</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3768"/>
          <w:sz w:val="28"/>
        </w:rPr>
        <w:t>NOTE 1</w:t>
      </w:r>
      <w:r>
        <w:rPr>
          <w:color w:val="000000"/>
        </w:rPr>
        <w:t xml:space="preserve"> </w:t>
      </w:r>
      <w:r>
        <w:rPr>
          <w:rFonts w:ascii="Arial;sans-serif" w:hAnsi="Arial;sans-serif"/>
          <w:b/>
          <w:color w:val="000000"/>
          <w:sz w:val="28"/>
        </w:rPr>
        <w:t>Basis of Presentation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accompanying unaudited Condensed Consolidated Financial Statements of Hubbell Incorporated (“Hubbell”, the “Company”, “registrant”, “we”, “our” or “us”, which references include its divisions and subsidiaries) have been prepared in accordance with generally accepted accounting principles (“GAAP”) for interim financial information. Accordingly, they do not include all of the information and footnotes required by United States of America (“U.S.”) GAAP for audited financial statements. In the opinion of management, all adjustments consisting only of normal recurring adjustments considered necessary for a fair statement of the results of the periods presented have been included. Operating results for the six months ended June 30, 2026 are not necessarily indicative of the results that may be expected for the full year ending December 31,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balance sheet at December 31, 2025 has been derived from the audited financial statements at that date but does not include all of the information and footnotes required by U.S. GAAP for complete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further information, refer to the audited consolidated financial statements and footnotes thereto included in the Hubbell Incorporated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shd w:fill="FFFFFF" w:val="clear"/>
        </w:rPr>
      </w:pPr>
      <w:r>
        <w:rPr>
          <w:rFonts w:ascii="Arial;sans-serif" w:hAnsi="Arial;sans-serif"/>
          <w:b/>
          <w:color w:val="003768"/>
          <w:sz w:val="24"/>
          <w:shd w:fill="FFFFFF" w:val="clear"/>
        </w:rPr>
        <w:t>International Emergency Economic Powers Act ("IEEPA") Tariffs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February 20, 2026, the U.S. Supreme Court issued a ruling in Learning Resources, Inc. v. Trump invalidating certain tariffs previously imposed under the IEEPA. On April 20, 2026, the U.S. Customs and Border Protection (CBP) launched a system to process IEEPA tariff refund claims and the Company submitted claims for IEEPA tariffs that have been previously paid. Based on these actions, the Company may be eligible for refunds of certain tariffs paid during 2025 and the first quarter of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has elected to use a gain contingency model to account for recoveries of previously paid IEEPA tariffs, in accordance with ASC 450-30 "Gain Contingencies". Under this model, a gain contingency is not recognized in the financial statements until the gain is realized or realizable. Tariff recoveries are reflected as a reduction of cost of goods sold for inventory that has already been sold. Subsequent to June 30, 2026, the Company received refunds for IEEPA tariffs previously paid totaling approximately $30 million, including an immaterial amount of interest. As of June 30, 2026 these amounts were not deemed to be realized or realizable and, accordingly, these amounts were not recognized in the condensed consolidated financial statements for the period ending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Supplier Finance Program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Payment Services Arrangements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has ongoing agreements with financial institutions to facilitate the processing of vendor payables. Under these agreements, the Company pays the financial institution the stated amount of confirmed invoices from participating suppliers on their original maturity date. The terms of the vendor payables are not affected by vendors participating in these agreements. As a result, the amounts owed are presented as accounts payable in the Company’s Condensed Consolidated Balance Sheets, of which $107.1 million and $95.5 million was outstanding at June 30, 2026 and December 31, 2025, respectively. Either party may terminate the agreements with 30 days written notice. Cash flows under the program are reported in operating activities in the Company’s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Commercial Card Program</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2021, the Company entered into an agreement with a financial institution that allows participating suppliers to receive payment for outstanding invoices through a commercial purchasing card sponsored by a financial institution. The Company is required to settle such outstanding invoices through a consolidated payment to the financial institution 15 days after the commercial card billing cycle. The Company receives the benefit of extended payment terms and a rebate from the financial institution. Either party may terminate the agreement with 60 days written notice. The amount outstanding to the financial institution is presented as short-term debt in the Company’s Condensed Consolidated Balance Sheets, of which, $1.7 million and $2.1 million was outstanding at June 30, 2026 and December 31, 2025, respectively. Cash flows under the program are reported in financing activities in the Company’s Condensed Consolidated Statements of Cash Flows.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7</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In November 2024, the FASB issued ASU 2024-03, “Disaggregation of Income Statement Expenses (DISE),</w:t>
      </w:r>
      <w:r>
        <w:rPr>
          <w:color w:val="000000"/>
          <w:shd w:fill="FFFFFF" w:val="clear"/>
        </w:rPr>
        <w:t>”</w:t>
      </w:r>
      <w:r>
        <w:rPr>
          <w:color w:val="000000"/>
        </w:rPr>
        <w:t xml:space="preserve"> </w:t>
      </w:r>
      <w:r>
        <w:rPr>
          <w:rFonts w:ascii="Arial;sans-serif" w:hAnsi="Arial;sans-serif"/>
          <w:b w:val="false"/>
          <w:color w:val="000000"/>
          <w:sz w:val="18"/>
        </w:rPr>
        <w:t>which requires additional disclosure of the nature of expenses included in the income statement. The standard requires disclosures about specific types of expenses included in the expense captions presented on the face of the income statement as well as disclosures about selling expenses. The ASU is effective for annual reporting periods beginning after December 15, 2026, and interim reporting periods beginning after December 15, 2027. The requirements are required to be adopted prospectively with the option for retrospective application. The Company is assessing the impact of adopting this standard on its financial statements and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September 2025, the FASB issued ASU 2025-06, "Targeted Improvements to the Accounting for Internal-Use Software", which modernizes the accounting for software costs. The ASU is effective for public entities for fiscal years beginning after December 15, 2027, and interim periods for fiscal years beginning after December 15, 2027. The Company is assessing the impact of adopting this standard on its financial statements and disclosures.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October 2025, the FASB issued ASU 2025-10, "Accounting for Government Grants Received by Business Entities", which establishes the accounting for business entities on the recognition, measurement, presentation, and disclosure of government grants. The ASU is effective for public entities for fiscal years beginning after December 15, 2028, and interim periods for fiscal years beginning after December 15, 2029. The Company is assessing the impact of adopting this standard on its financial statements and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8</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 xml:space="preserve">NOTE 2 </w:t>
      </w:r>
      <w:r>
        <w:rPr>
          <w:rFonts w:ascii="Arial;sans-serif" w:hAnsi="Arial;sans-serif"/>
          <w:b/>
          <w:color w:val="000000"/>
          <w:sz w:val="28"/>
        </w:rPr>
        <w:t>Business Acquisitions</w:t>
      </w:r>
      <w:r>
        <w:rPr>
          <w:color w:val="003768"/>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3768"/>
          <w:sz w:val="24"/>
          <w:shd w:fill="FFFFFF" w:val="clear"/>
        </w:rPr>
      </w:pPr>
      <w:r>
        <w:rPr>
          <w:rFonts w:ascii="Arial;sans-serif" w:hAnsi="Arial;sans-serif"/>
          <w:b/>
          <w:color w:val="003768"/>
          <w:sz w:val="24"/>
          <w:shd w:fill="FFFFFF" w:val="clear"/>
        </w:rPr>
        <w:t>2026 Acquisition</w:t>
      </w:r>
    </w:p>
    <w:p>
      <w:pPr>
        <w:pStyle w:val="TextBody"/>
        <w:bidi w:val="0"/>
        <w:spacing w:before="0" w:after="0"/>
        <w:jc w:val="both"/>
        <w:rPr/>
      </w:pPr>
      <w:r>
        <w:rPr/>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June 9, 2026 (the "NSI Industries Closing Date"), the Company acquired all of the issued and outstanding equity of NSI Electrical Buyer, Inc., a Delaware corporation ("NSI Industries") for $3.0 billion, net of cash acquired, subject to customary adjustments related to cash, indebtedness, working capital and transaction expenses. NSI Industries is a leading provider of electrical fittings, connectors, components and wire management products. NSI Industries has been added to the Electrical Solutions segment. NSI Industries has complementary product offerings that enhance Hubbell's Electrical Solutions portfolio, and fits with our long-term strategy to grow our offering of critical infrastructure solutions to our core electrical and utility customers. We have recognized intangible assets of $1,856.0 million and goodwill of $1,288.7 million as a result of the acquisition. The intangible assets will be amortized over a weighted average period of approximately 25 years.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financed the acquisition of NSI Industries with net proceeds from borrowings under a new unsecured term loan facility in an aggregate principal amount of $900 million, the issuance of $1.9 billion aggregate principal amount of senior notes and issuances of commercial paper.</w:t>
      </w:r>
    </w:p>
    <w:p>
      <w:pPr>
        <w:pStyle w:val="TextBody"/>
        <w:bidi w:val="0"/>
        <w:spacing w:before="0" w:after="0"/>
        <w:jc w:val="both"/>
        <w:rPr/>
      </w:pPr>
      <w:r>
        <w:rPr/>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determined the preliminary fair values of the customer relationships intangible assets using a multi-period excess earnings method. The significant assumptions used in determining the preliminary fair values of the customer relationships intangible assets included revenue growth rates, gross margin, operating margin, attrition rate, tax rate and discount rate. We determined the preliminary fair values of trade name and backlog intangible assets using an income approach. Accordingly, the fair value measurement of the customer relationships intangible assets, trade name, and backlog intangible assets are classified in Level 3 of the fair value hierarchy.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NSI Industries acquisition has been accounted for as business combination and resulted in the recognition of goodwill. The goodwill relates to a number of factors implied in the purchase price, including the future earnings and cash flow potential of the business as well as the complementary strategic fit and resulting synergies that such business acquisition brings to the Company’s existing operations. For tax purposes, $58.3 million of the NSI Industries historical goodwill is deductible. The incremental goodwill created as a result of the acquisition is not deductible for tax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Preliminary Allocation of Consideration Transferred to Net Assets Acquired</w:t>
      </w:r>
    </w:p>
    <w:p>
      <w:pPr>
        <w:pStyle w:val="TextBody"/>
        <w:bidi w:val="0"/>
        <w:spacing w:before="0" w:after="0"/>
        <w:jc w:val="both"/>
        <w:rPr/>
      </w:pPr>
      <w:r>
        <w:rPr/>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 xml:space="preserve">The following table presents the preliminary determination of the fair values of identifiable assets acquired and liabilities assumed from the Company's 2026 acquisition of NSI Industries (in millions). </w:t>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 xml:space="preserve">The final determination of the fair value of certain assets and liabilities will be completed within the applicable one year measurement period as required by FASB ASC Topic 805, “Business Combinations.” As the Company finalizes the fair values of assets acquired and liabilities assumed, additional purchase price adjustments may be recorded during the measurement period. </w:t>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and financial position. The finalization of the purchase accounting assessment may result in a change in the valuation of assets acquired and liabilities assumed and may have a material impact on the Company's results of operations and financial position.</w:t>
      </w:r>
    </w:p>
    <w:tbl>
      <w:tblPr>
        <w:tblW w:w="6936" w:type="dxa"/>
        <w:jc w:val="left"/>
        <w:tblInd w:w="0" w:type="dxa"/>
        <w:tblLayout w:type="fixed"/>
        <w:tblCellMar>
          <w:top w:w="28" w:type="dxa"/>
          <w:left w:w="28" w:type="dxa"/>
          <w:bottom w:w="28" w:type="dxa"/>
          <w:right w:w="28" w:type="dxa"/>
        </w:tblCellMar>
      </w:tblPr>
      <w:tblGrid>
        <w:gridCol w:w="2094"/>
        <w:gridCol w:w="1845"/>
        <w:gridCol w:w="1851"/>
        <w:gridCol w:w="211"/>
        <w:gridCol w:w="781"/>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162.2 </w:t>
            </w:r>
          </w:p>
        </w:tc>
        <w:tc>
          <w:tcPr>
            <w:tcW w:w="15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 net</w:t>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(405.8)</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1,288.7 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Estimate of Consideration Transferred, Net of Cash Acquired</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3,008.1</w:t>
            </w:r>
            <w:r>
              <w:rPr>
                <w:color w:val="000000"/>
              </w:rPr>
              <w:t> </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9</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purchase price allocation to identifiable intangible assets acquired for the 2026 acquisition is as follows (in millions, except useful life amounts):</w:t>
      </w:r>
    </w:p>
    <w:tbl>
      <w:tblPr>
        <w:tblW w:w="8593" w:type="dxa"/>
        <w:jc w:val="left"/>
        <w:tblInd w:w="0" w:type="dxa"/>
        <w:tblLayout w:type="fixed"/>
        <w:tblCellMar>
          <w:top w:w="28" w:type="dxa"/>
          <w:left w:w="28" w:type="dxa"/>
          <w:bottom w:w="28" w:type="dxa"/>
          <w:right w:w="28" w:type="dxa"/>
        </w:tblCellMar>
      </w:tblPr>
      <w:tblGrid>
        <w:gridCol w:w="1129"/>
        <w:gridCol w:w="994"/>
        <w:gridCol w:w="997"/>
        <w:gridCol w:w="359"/>
        <w:gridCol w:w="1330"/>
        <w:gridCol w:w="185"/>
        <w:gridCol w:w="1054"/>
        <w:gridCol w:w="1054"/>
        <w:gridCol w:w="1491"/>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Estimated Fair Value</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Weighted Average Estimated Useful Life</w:t>
            </w:r>
          </w:p>
        </w:tc>
      </w:tr>
      <w:tr>
        <w:trPr/>
        <w:tc>
          <w:tcPr>
            <w:tcW w:w="31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Patents, tradenames and trademarks</w:t>
            </w:r>
          </w:p>
        </w:tc>
        <w:tc>
          <w:tcPr>
            <w:tcW w:w="35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0"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85"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r>
      <w:tr>
        <w:trPr/>
        <w:tc>
          <w:tcPr>
            <w:tcW w:w="312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359"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0"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85"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r>
      <w:tr>
        <w:trPr/>
        <w:tc>
          <w:tcPr>
            <w:tcW w:w="3120"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59"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30"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1,856.0</w:t>
            </w:r>
            <w:r>
              <w:rPr>
                <w:color w:val="000000"/>
              </w:rPr>
              <w:t> </w:t>
            </w:r>
          </w:p>
        </w:tc>
        <w:tc>
          <w:tcPr>
            <w:tcW w:w="185"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Customer relationships intangible assets acquired are amortized using an accelerated method that reflects the pattern in which economic benefits of the intangible assets are consumed and results in higher amortization in the earlier years of the asset's useful life.</w:t>
      </w:r>
    </w:p>
    <w:p>
      <w:pPr>
        <w:pStyle w:val="TextBody"/>
        <w:bidi w:val="0"/>
        <w:spacing w:lineRule="auto" w:line="288" w:before="0" w:after="160"/>
        <w:jc w:val="both"/>
        <w:rPr>
          <w:rFonts w:ascii="Arial;sans-serif" w:hAnsi="Arial;sans-serif"/>
          <w:b/>
          <w:color w:val="003768"/>
          <w:sz w:val="24"/>
          <w:shd w:fill="FFFFFF" w:val="clear"/>
        </w:rPr>
      </w:pPr>
      <w:r>
        <w:rPr>
          <w:rFonts w:ascii="Arial;sans-serif" w:hAnsi="Arial;sans-serif"/>
          <w:b/>
          <w:color w:val="003768"/>
          <w:sz w:val="24"/>
          <w:shd w:fill="FFFFFF" w:val="clear"/>
        </w:rPr>
        <w:t>Supplemental Pro-forma Data</w:t>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results of operations for the 2026 acquisition have been included in the Company’s consolidated financial statements for the period subsequent to the completion of the acquisition on the NSI Industries Closing Date. The NSI Industries acquisition contributed sales of approximately $35.4 million and operating income was not material for the period from the NSI Industries Closing Date through June 30, 2026.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following supplemental pro-forma information presents consolidated results as if the acquisition had been completed on January 1, 2025. Following that approach, for the purpose of the pro-forma results presented in the tables below, certain costs incurred by the Company during 2026 have been reclassified into the pro-forma 2025 period. The following table summarizes the pro forma adjustments to increase or (decrease) reported results to arrive at the pro-forma results. </w:t>
      </w:r>
    </w:p>
    <w:p>
      <w:pPr>
        <w:pStyle w:val="TextBody"/>
        <w:bidi w:val="0"/>
        <w:spacing w:before="0" w:after="0"/>
        <w:jc w:val="both"/>
        <w:rPr/>
      </w:pPr>
      <w:r>
        <w:rPr/>
      </w:r>
    </w:p>
    <w:tbl>
      <w:tblPr>
        <w:tblW w:w="9219" w:type="dxa"/>
        <w:jc w:val="left"/>
        <w:tblInd w:w="0" w:type="dxa"/>
        <w:tblLayout w:type="fixed"/>
        <w:tblCellMar>
          <w:top w:w="28" w:type="dxa"/>
          <w:left w:w="28" w:type="dxa"/>
          <w:bottom w:w="28" w:type="dxa"/>
          <w:right w:w="28" w:type="dxa"/>
        </w:tblCellMar>
      </w:tblPr>
      <w:tblGrid>
        <w:gridCol w:w="1370"/>
        <w:gridCol w:w="1201"/>
        <w:gridCol w:w="1209"/>
        <w:gridCol w:w="263"/>
        <w:gridCol w:w="731"/>
        <w:gridCol w:w="136"/>
        <w:gridCol w:w="136"/>
        <w:gridCol w:w="136"/>
        <w:gridCol w:w="136"/>
        <w:gridCol w:w="263"/>
        <w:gridCol w:w="731"/>
        <w:gridCol w:w="136"/>
        <w:gridCol w:w="109"/>
        <w:gridCol w:w="109"/>
        <w:gridCol w:w="109"/>
        <w:gridCol w:w="236"/>
        <w:gridCol w:w="656"/>
        <w:gridCol w:w="122"/>
        <w:gridCol w:w="122"/>
        <w:gridCol w:w="122"/>
        <w:gridCol w:w="122"/>
        <w:gridCol w:w="236"/>
        <w:gridCol w:w="656"/>
        <w:gridCol w:w="172"/>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shd w:fill="FFFFFF" w:val="clear"/>
              </w:rPr>
            </w:pPr>
            <w:r>
              <w:rPr>
                <w:rFonts w:ascii="Arial;sans-serif" w:hAnsi="Arial;sans-serif"/>
                <w:b/>
                <w:i/>
                <w:color w:val="000000"/>
                <w:sz w:val="18"/>
                <w:shd w:fill="FFFFFF" w:val="clear"/>
              </w:rPr>
              <w:t>(in millions)</w:t>
            </w:r>
          </w:p>
        </w:tc>
        <w:tc>
          <w:tcPr>
            <w:tcW w:w="113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2026</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2026</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2025</w:t>
            </w:r>
          </w:p>
        </w:tc>
      </w:tr>
      <w:tr>
        <w:trPr/>
        <w:tc>
          <w:tcPr>
            <w:tcW w:w="378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 incurred in 2026</w:t>
            </w:r>
          </w:p>
        </w:tc>
        <w:tc>
          <w:tcPr>
            <w:tcW w:w="26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3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22"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72"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Intangible amortization and inventory step up</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(5.4)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(15.5)</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(15.8)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(38.7)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63"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136" w:type="dxa"/>
            <w:tcBorders>
              <w:bottom w:val="single" w:sz="4" w:space="0" w:color="000000"/>
            </w:tcBorders>
            <w:shd w:fill="E7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4" w:space="0" w:color="000000"/>
            </w:tcBorders>
            <w:shd w:fill="E7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36" w:type="dxa"/>
            <w:tcBorders>
              <w:bottom w:val="single" w:sz="4" w:space="0" w:color="000000"/>
            </w:tcBorders>
            <w:shd w:fill="E7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E7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122" w:type="dxa"/>
            <w:tcBorders>
              <w:bottom w:val="single" w:sz="4" w:space="0" w:color="000000"/>
            </w:tcBorders>
            <w:shd w:fill="E7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4" w:space="0" w:color="000000"/>
            </w:tcBorders>
            <w:shd w:fill="E7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w:t>
            </w:r>
          </w:p>
        </w:tc>
        <w:tc>
          <w:tcPr>
            <w:tcW w:w="172" w:type="dxa"/>
            <w:tcBorders>
              <w:bottom w:val="single" w:sz="4" w:space="0" w:color="000000"/>
            </w:tcBorders>
            <w:shd w:fill="E7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unaudited financial information in the table above reflects additional amortization that would have been recorded assuming the fair value adjustments for intangible assets have been applied starting on January 1, 2025. Additionally, these amounts reflect adjustments for additional interest expense that would have been incurred, as a result of incurring debt for the acquisition over the periods in the pro forma financial information. Transaction costs related to the NSI Industries acquisition that were incurred during the three months ended June 30, 2026 are reflected in the six months ended June 30, 2025, due to the timing of the transaction. </w:t>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pro-forma results were calculated by combining the results of the Company with the stand-alone results of the acquisition for the pre-acquisition periods, as described above:</w:t>
      </w:r>
    </w:p>
    <w:tbl>
      <w:tblPr>
        <w:tblW w:w="8385" w:type="dxa"/>
        <w:jc w:val="left"/>
        <w:tblInd w:w="0" w:type="dxa"/>
        <w:tblLayout w:type="fixed"/>
        <w:tblCellMar>
          <w:top w:w="28" w:type="dxa"/>
          <w:left w:w="28" w:type="dxa"/>
          <w:bottom w:w="28" w:type="dxa"/>
          <w:right w:w="28" w:type="dxa"/>
        </w:tblCellMar>
      </w:tblPr>
      <w:tblGrid>
        <w:gridCol w:w="1049"/>
        <w:gridCol w:w="920"/>
        <w:gridCol w:w="925"/>
        <w:gridCol w:w="221"/>
        <w:gridCol w:w="804"/>
        <w:gridCol w:w="114"/>
        <w:gridCol w:w="114"/>
        <w:gridCol w:w="114"/>
        <w:gridCol w:w="114"/>
        <w:gridCol w:w="221"/>
        <w:gridCol w:w="804"/>
        <w:gridCol w:w="114"/>
        <w:gridCol w:w="109"/>
        <w:gridCol w:w="109"/>
        <w:gridCol w:w="109"/>
        <w:gridCol w:w="211"/>
        <w:gridCol w:w="766"/>
        <w:gridCol w:w="109"/>
        <w:gridCol w:w="109"/>
        <w:gridCol w:w="109"/>
        <w:gridCol w:w="109"/>
        <w:gridCol w:w="211"/>
        <w:gridCol w:w="76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Six Months Ended June 30,</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shd w:fill="FFFFFF" w:val="clear"/>
              </w:rPr>
            </w:pPr>
            <w:r>
              <w:rPr>
                <w:rFonts w:ascii="Arial;sans-serif" w:hAnsi="Arial;sans-serif"/>
                <w:b/>
                <w:i/>
                <w:color w:val="000000"/>
                <w:sz w:val="18"/>
                <w:shd w:fill="FFFFFF" w:val="clear"/>
              </w:rPr>
              <w:t>(in millions)</w:t>
            </w:r>
          </w:p>
        </w:tc>
        <w:tc>
          <w:tcPr>
            <w:tcW w:w="11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2025</w:t>
            </w:r>
          </w:p>
        </w:tc>
      </w:tr>
      <w:tr>
        <w:trPr/>
        <w:tc>
          <w:tcPr>
            <w:tcW w:w="289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2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1,821.8 </w:t>
            </w:r>
          </w:p>
        </w:tc>
        <w:tc>
          <w:tcPr>
            <w:tcW w:w="11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1,612.8 </w:t>
            </w:r>
          </w:p>
        </w:tc>
        <w:tc>
          <w:tcPr>
            <w:tcW w:w="11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3,475.1 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3,091.3 </w:t>
            </w:r>
          </w:p>
        </w:tc>
        <w:tc>
          <w:tcPr>
            <w:tcW w:w="15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Net income attributable to Hubbell</w:t>
            </w:r>
          </w:p>
        </w:tc>
        <w:tc>
          <w:tcPr>
            <w:tcW w:w="22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804"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248.4 </w:t>
            </w:r>
          </w:p>
        </w:tc>
        <w:tc>
          <w:tcPr>
            <w:tcW w:w="11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804"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225.3 </w:t>
            </w:r>
          </w:p>
        </w:tc>
        <w:tc>
          <w:tcPr>
            <w:tcW w:w="11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766"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419.5 </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766"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329.9 </w:t>
            </w:r>
          </w:p>
        </w:tc>
        <w:tc>
          <w:tcPr>
            <w:tcW w:w="15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supplemental pro-forma financial information does not reflect the actual performance of the 2026 acquisition in the periods presented and does not reflect the potential realization of cost savings relating to the integration of the acquisition with Hubbell. Further, the pro-forma data should not be considered indicative of the results that would have occurred if the acquisition and related financing had been consummated on January 1, 2025, nor are they indicative of future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10</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color w:val="003768"/>
          <w:sz w:val="24"/>
          <w:shd w:fill="FFFFFF" w:val="clear"/>
        </w:rPr>
      </w:pPr>
      <w:r>
        <w:rPr>
          <w:rFonts w:ascii="Arial;sans-serif" w:hAnsi="Arial;sans-serif"/>
          <w:b/>
          <w:color w:val="003768"/>
          <w:sz w:val="24"/>
          <w:shd w:fill="FFFFFF" w:val="clear"/>
        </w:rPr>
        <w:t>2025 Acquisitions</w:t>
      </w:r>
    </w:p>
    <w:p>
      <w:pPr>
        <w:pStyle w:val="TextBody"/>
        <w:bidi w:val="0"/>
        <w:spacing w:before="0" w:after="0"/>
        <w:jc w:val="both"/>
        <w:rPr/>
      </w:pPr>
      <w:r>
        <w:rPr/>
      </w:r>
    </w:p>
    <w:p>
      <w:pPr>
        <w:pStyle w:val="TextBody"/>
        <w:bidi w:val="0"/>
        <w:spacing w:lineRule="auto" w:line="288" w:before="0" w:after="160"/>
        <w:jc w:val="both"/>
        <w:rPr/>
      </w:pPr>
      <w:r>
        <w:rPr>
          <w:rFonts w:ascii="Arial;sans-serif" w:hAnsi="Arial;sans-serif"/>
          <w:b w:val="false"/>
          <w:color w:val="000000"/>
          <w:sz w:val="18"/>
        </w:rPr>
        <w:t>In the first quarter of 2025, the Company acquired all of the issued and outstanding equity of Alliance USAcqCo 2, Inc., a Delaware Corporation (“Ventev</w:t>
      </w:r>
      <w:r>
        <w:rPr>
          <w:color w:val="000000"/>
          <w:shd w:fill="FFFFFF" w:val="clear"/>
        </w:rPr>
        <w:t>”</w:t>
      </w:r>
      <w:r>
        <w:rPr>
          <w:rFonts w:ascii="Arial;sans-serif" w:hAnsi="Arial;sans-serif"/>
          <w:b w:val="false"/>
          <w:color w:val="000000"/>
          <w:sz w:val="18"/>
        </w:rPr>
        <w:t xml:space="preserve">) for approximately $73 million, net of cash acquired. Ventev is a leading manufacturer and provider of a complete ecosystem of solutions to power, protect, and connect wireless networks. The Ventev business has been added to the Electrical Solutions segment. </w:t>
      </w:r>
      <w:r>
        <w:rPr>
          <w:rFonts w:ascii="Arial;sans-serif" w:hAnsi="Arial;sans-serif"/>
          <w:b w:val="false"/>
          <w:color w:val="000000"/>
          <w:sz w:val="18"/>
          <w:shd w:fill="FFFFFF" w:val="clear"/>
        </w:rPr>
        <w:t xml:space="preserve">We have recognized intangible assets of $34.5 million and goodwill of $40.0 million as a result of the acquisition. The $34.5 million of intangible assets consists primarily of customer relationships and trade names and will be amortized over a weighted average period of approximately 17 years. </w:t>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the third quarter of 2025, the Company acquired all of the issued and outstanding equity of Nicor, Inc., a Texas corporation ("Nicor") for approximately $56 million, net of cash acquired. Nicor designs and manufactures water metering endpoint solutions to integrate and optimize advanced metering infrastructure networks. Such solutions include polymer meter box lids and covers. Nicor has been added to the Utility Solutions segment. We have recognized intangible assets of $18.6 million and goodwill of $31.4 million as a result of the acquisition. The $18.6 million of intangible assets consists primarily of customer relationships and a trade name and will be amortized over a weighted average period of approximately 18 years. </w:t>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October 1, 2025, the Company acquired all of the issued and outstanding equity of Power Rose Acquisition, Inc., a Delaware corporation ("Power Rose" and together with its subsidiaries, "DMC Power") for approximately $827 million, net of cash acquired. DMC Power is a provider of swaged connection systems and tooling for utility substation and transmission markets. DMC Power has been added to the Utility Solutions segment. We have recognized intangible assets of $364.0 million and goodwill of $471.8 million as a result of the acquisition. The $364.0 million of intangible assets consists primarily of $290.0 million of customer relationships, with the remaining $74.0 million consisting of developed technology, trade names and backlog. The intangible assets will be amortized over a weighted average period of approximately 21 years.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financed the acquisition of DMC Power with net proceeds from borrowings under a new unsecured term loan facility in the aggregate principal amount of $600.0 million and issuances of commercial paper.</w:t>
      </w:r>
    </w:p>
    <w:p>
      <w:pPr>
        <w:pStyle w:val="TextBody"/>
        <w:bidi w:val="0"/>
        <w:spacing w:before="0" w:after="0"/>
        <w:jc w:val="both"/>
        <w:rPr/>
      </w:pPr>
      <w:r>
        <w:rPr/>
      </w:r>
    </w:p>
    <w:p>
      <w:pPr>
        <w:pStyle w:val="TextBody"/>
        <w:bidi w:val="0"/>
        <w:spacing w:lineRule="auto" w:line="288" w:before="0" w:after="160"/>
        <w:jc w:val="both"/>
        <w:rPr/>
      </w:pPr>
      <w:r>
        <w:rPr>
          <w:rFonts w:ascii="Arial;sans-serif" w:hAnsi="Arial;sans-serif"/>
          <w:b w:val="false"/>
          <w:color w:val="000000"/>
          <w:sz w:val="18"/>
          <w:shd w:fill="FFFFFF" w:val="clear"/>
        </w:rPr>
        <w:t>We determined the preliminary fair values of the customer relationships intangible assets using a multi-period excess earnings method. The significant assumptions used in determining the preliminary fair values of the customer relationships intangible assets included revenue growth rates, gross margin, attrition rate, and discount rate</w:t>
      </w:r>
      <w:r>
        <w:rPr>
          <w:rFonts w:ascii="Arial;sans-serif" w:hAnsi="Arial;sans-serif"/>
          <w:b w:val="false"/>
          <w:color w:val="000000"/>
          <w:sz w:val="18"/>
        </w:rPr>
        <w:t xml:space="preserve">. We determined the preliminary fair values of the developed technology, trade name and backlog intangible assets using an income approach. Accordingly, the fair value measurement of the customer relationships intangible assets, developed technology, trade name, and backlog intangible assets are classified in Level 3 of the fair value hierarchy.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These business acquisitions have been accounted for as business combinations and have resulted in the recognition of goodwill. The goodwill relates to a number of factors implied in the purchase price, including the future earnings and cash flow potential of the business as well as the complementary strategic fit and resulting synergies that such business acquisition brings to the Company’s existing operations. The goodwill related to the Ventev, Nicor and DMC Power acquisitions is not deductible for tax purposes.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11</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Preliminary Allocation of Consideration Transferred to Net Assets Acquired</w:t>
      </w:r>
    </w:p>
    <w:p>
      <w:pPr>
        <w:pStyle w:val="TextBody"/>
        <w:bidi w:val="0"/>
        <w:spacing w:before="0" w:after="0"/>
        <w:jc w:val="both"/>
        <w:rPr/>
      </w:pPr>
      <w:r>
        <w:rPr/>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 xml:space="preserve">The following table presents the preliminary determination of the fair values of identifiable assets acquired and liabilities assumed from the Company's 2025 acquisitions of Ventev, Nicor and DMC Power (in millions). </w:t>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 xml:space="preserve">The final determination of the fair value of certain assets and liabilities will be completed within the applicable one year measurement period as required by FASB ASC Topic 805, “Business Combinations.” As the Company finalizes the fair values of assets acquired and liabilities assumed, additional purchase price adjustments may be recorded during the measurement period. The purchase accounting for the Ventev and Nicor acquisitions has been finalized. </w:t>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and financial position. The finalization of the purchase accounting assessment may result in a change in the valuation of assets acquired and liabilities assumed and may have a material impact on the Company's results of operations and financial position.</w:t>
      </w:r>
    </w:p>
    <w:tbl>
      <w:tblPr>
        <w:tblW w:w="6786" w:type="dxa"/>
        <w:jc w:val="left"/>
        <w:tblInd w:w="0" w:type="dxa"/>
        <w:tblLayout w:type="fixed"/>
        <w:tblCellMar>
          <w:top w:w="28" w:type="dxa"/>
          <w:left w:w="28" w:type="dxa"/>
          <w:bottom w:w="28" w:type="dxa"/>
          <w:right w:w="28" w:type="dxa"/>
        </w:tblCellMar>
      </w:tblPr>
      <w:tblGrid>
        <w:gridCol w:w="2094"/>
        <w:gridCol w:w="1845"/>
        <w:gridCol w:w="1851"/>
        <w:gridCol w:w="211"/>
        <w:gridCol w:w="631"/>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5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84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84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4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 net</w:t>
            </w:r>
          </w:p>
        </w:tc>
        <w:tc>
          <w:tcPr>
            <w:tcW w:w="84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84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Estimate of Consideration Transferred, Net of Cash Acquired</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955.9</w:t>
            </w:r>
            <w:r>
              <w:rPr>
                <w:color w:val="000000"/>
              </w:rPr>
              <w:t> </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12</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3</w:t>
      </w:r>
      <w:r>
        <w:rPr>
          <w:color w:val="000000"/>
        </w:rPr>
        <w:t xml:space="preserve"> </w:t>
      </w:r>
      <w:r>
        <w:rPr>
          <w:rFonts w:ascii="Arial;sans-serif" w:hAnsi="Arial;sans-serif"/>
          <w:b/>
          <w:color w:val="000000"/>
          <w:sz w:val="28"/>
        </w:rPr>
        <w:t>Revenue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recognizes revenue when performance obligations identified under the terms of contracts with its customers are satisfied, which generally occurs, for products, upon the transfer of control in accordance with the contractual terms and conditions of the sale. The majority of the Company’s revenue associated with products is recognized at a point in time when the product is shipped to the customer, with a relatively small amount of transactions, primarily in the Utility Solutions segment, recognized upon delivery of the product at the destination.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also has performance obligations, primarily within the Utility Solutions segment, that are recognized over time due to the customized nature of the product and the Company's enforceable right to receive payment for work performed to date in the event of a cancellation. The Company uses an input measure to determine the extent of progress towards completion of the performance obligation, which the Company believes best depicts the transfer of control to the customer. Under this method, revenue recognition is primarily based upon the ratio of costs incurred to date compared with estimated total costs to complete.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Revenue from service contracts and post-shipment performance obligations is approximately one percent of total annual consolidated net revenue and those service contracts and post-shipment obligations are primarily within the Utility Solutions segment. Revenue from service contracts and post-shipment performance obligations is recognized when or as those obligations are satisfied. The Company primarily offers assurance-type standard warranties that do not represent separate performance obligations and on occasion will separately offer and price extended warranties that are separate performance obligations for which the associated revenue is recognized over-time based on the extended warranty period. The Company records amounts billed to customers for reimbursement of shipping and handling costs within revenue. Shipping and handling costs associated with outbound freight after control over a product has transferred to a customer are accounted for as fulfillment costs and are included in cost of goods sold. Sales taxes and other usage-based taxes are excluded from revenue.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Certain of our businesses require a portion of the transaction price to be paid in advance of transfer of control. Advance payments are not considered a significant financing component as they are received less than one year before the related performance obligations are satisfied. In addition, in the Utility Solutions segment, certain businesses offer annual maintenance service contracts that require payment at the beginning of the contract period. These payments are treated as a contract liability and are classified in Other accrued liabilities in the Condensed Consolidated Balance Sheets. Once control transfers to the customer and the Company meets the revenue recognition criteria, the deferred revenue is recognized in the Condensed Consolidated Statements of Income. The deferred revenue relating to the annual maintenance service contracts is recognized in the Condensed Consolidated Statements of Income on a straight-line basis over the expected term of the contract.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following table presents disaggregated revenue by business group. In September 2025, we internally reorganized certain businesses within our Electrical Solutions segment. The re-organization streamlines the organization and aligns the organization to better serve our customers. This change had no impact to our reportable segments. In conjunction with this change, prior period amounts have been reclassified to conform to the current organizational structure. </w:t>
      </w:r>
    </w:p>
    <w:tbl>
      <w:tblPr>
        <w:tblW w:w="7409" w:type="dxa"/>
        <w:jc w:val="center"/>
        <w:tblInd w:w="0" w:type="dxa"/>
        <w:tblLayout w:type="fixed"/>
        <w:tblCellMar>
          <w:top w:w="28" w:type="dxa"/>
          <w:left w:w="28" w:type="dxa"/>
          <w:bottom w:w="28" w:type="dxa"/>
          <w:right w:w="28" w:type="dxa"/>
        </w:tblCellMar>
      </w:tblPr>
      <w:tblGrid>
        <w:gridCol w:w="809"/>
        <w:gridCol w:w="708"/>
        <w:gridCol w:w="718"/>
        <w:gridCol w:w="251"/>
        <w:gridCol w:w="931"/>
        <w:gridCol w:w="129"/>
        <w:gridCol w:w="251"/>
        <w:gridCol w:w="931"/>
        <w:gridCol w:w="129"/>
        <w:gridCol w:w="230"/>
        <w:gridCol w:w="851"/>
        <w:gridCol w:w="118"/>
        <w:gridCol w:w="230"/>
        <w:gridCol w:w="851"/>
        <w:gridCol w:w="118"/>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3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1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1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EAEA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sales</w:t>
            </w:r>
          </w:p>
        </w:tc>
        <w:tc>
          <w:tcPr>
            <w:tcW w:w="131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Grid Infrastructure</w:t>
            </w:r>
          </w:p>
        </w:tc>
        <w:tc>
          <w:tcPr>
            <w:tcW w:w="25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785.5 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1,512.6 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Grid Automation</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236.8 </w:t>
            </w:r>
          </w:p>
        </w:tc>
        <w:tc>
          <w:tcPr>
            <w:tcW w:w="12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462.1 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476.2 </w:t>
            </w:r>
          </w:p>
        </w:tc>
        <w:tc>
          <w:tcPr>
            <w:tcW w:w="118"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Utility Solutions</w:t>
            </w:r>
          </w:p>
        </w:tc>
        <w:tc>
          <w:tcPr>
            <w:tcW w:w="2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1,025.8</w:t>
            </w:r>
            <w:r>
              <w:rPr>
                <w:color w:val="000000"/>
              </w:rPr>
              <w:t>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935.5</w:t>
            </w:r>
            <w:r>
              <w:rPr>
                <w:color w:val="000000"/>
              </w:rPr>
              <w:t> </w:t>
            </w:r>
          </w:p>
        </w:tc>
        <w:tc>
          <w:tcPr>
            <w:tcW w:w="12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1,974.7</w:t>
            </w:r>
            <w:r>
              <w:rPr>
                <w:color w:val="000000"/>
              </w:rPr>
              <w:t>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1,792.6</w:t>
            </w:r>
            <w:r>
              <w:rPr>
                <w:color w:val="000000"/>
              </w:rPr>
              <w:t> </w:t>
            </w:r>
          </w:p>
        </w:tc>
        <w:tc>
          <w:tcPr>
            <w:tcW w:w="11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Electrical Products</w:t>
            </w:r>
          </w:p>
        </w:tc>
        <w:tc>
          <w:tcPr>
            <w:tcW w:w="2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225.4 </w:t>
            </w:r>
          </w:p>
        </w:tc>
        <w:tc>
          <w:tcPr>
            <w:tcW w:w="12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431.1 </w:t>
            </w:r>
          </w:p>
        </w:tc>
        <w:tc>
          <w:tcPr>
            <w:tcW w:w="118"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Industrial</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746.0 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Electrical Solutions</w:t>
            </w:r>
          </w:p>
        </w:tc>
        <w:tc>
          <w:tcPr>
            <w:tcW w:w="2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686.0</w:t>
            </w:r>
            <w:r>
              <w:rPr>
                <w:color w:val="000000"/>
              </w:rPr>
              <w:t>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548.8</w:t>
            </w:r>
            <w:r>
              <w:rPr>
                <w:color w:val="000000"/>
              </w:rPr>
              <w:t> </w:t>
            </w:r>
          </w:p>
        </w:tc>
        <w:tc>
          <w:tcPr>
            <w:tcW w:w="12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1,253.8</w:t>
            </w:r>
            <w:r>
              <w:rPr>
                <w:color w:val="000000"/>
              </w:rPr>
              <w:t>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1,056.9</w:t>
            </w:r>
            <w:r>
              <w:rPr>
                <w:color w:val="000000"/>
              </w:rPr>
              <w:t> </w:t>
            </w:r>
          </w:p>
        </w:tc>
        <w:tc>
          <w:tcPr>
            <w:tcW w:w="11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5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1,711.8</w:t>
            </w:r>
            <w:r>
              <w:rPr>
                <w:color w:val="000000"/>
              </w:rPr>
              <w:t> </w:t>
            </w:r>
          </w:p>
        </w:tc>
        <w:tc>
          <w:tcPr>
            <w:tcW w:w="12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1,484.3</w:t>
            </w:r>
            <w:r>
              <w:rPr>
                <w:color w:val="000000"/>
              </w:rPr>
              <w:t> </w:t>
            </w:r>
          </w:p>
        </w:tc>
        <w:tc>
          <w:tcPr>
            <w:tcW w:w="12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3,228.5</w:t>
            </w:r>
            <w:r>
              <w:rPr>
                <w:color w:val="000000"/>
              </w:rPr>
              <w:t> </w:t>
            </w:r>
          </w:p>
        </w:tc>
        <w:tc>
          <w:tcPr>
            <w:tcW w:w="11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2,849.5</w:t>
            </w:r>
            <w:r>
              <w:rPr>
                <w:color w:val="000000"/>
              </w:rPr>
              <w:t> </w:t>
            </w:r>
          </w:p>
        </w:tc>
        <w:tc>
          <w:tcPr>
            <w:tcW w:w="11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13</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disaggregated third-party Net sales by geographic location (the Company defines “international” as operations based outside of the United States and its possessions):</w:t>
      </w:r>
    </w:p>
    <w:tbl>
      <w:tblPr>
        <w:tblW w:w="7299" w:type="dxa"/>
        <w:jc w:val="center"/>
        <w:tblInd w:w="0" w:type="dxa"/>
        <w:tblLayout w:type="fixed"/>
        <w:tblCellMar>
          <w:top w:w="28" w:type="dxa"/>
          <w:left w:w="28" w:type="dxa"/>
          <w:bottom w:w="28" w:type="dxa"/>
          <w:right w:w="28" w:type="dxa"/>
        </w:tblCellMar>
      </w:tblPr>
      <w:tblGrid>
        <w:gridCol w:w="809"/>
        <w:gridCol w:w="709"/>
        <w:gridCol w:w="716"/>
        <w:gridCol w:w="251"/>
        <w:gridCol w:w="931"/>
        <w:gridCol w:w="129"/>
        <w:gridCol w:w="251"/>
        <w:gridCol w:w="931"/>
        <w:gridCol w:w="129"/>
        <w:gridCol w:w="229"/>
        <w:gridCol w:w="850"/>
        <w:gridCol w:w="118"/>
        <w:gridCol w:w="229"/>
        <w:gridCol w:w="850"/>
        <w:gridCol w:w="167"/>
      </w:tblGrid>
      <w:tr>
        <w:trPr/>
        <w:tc>
          <w:tcPr>
            <w:tcW w:w="8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19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2234" w:type="dxa"/>
            <w:gridSpan w:val="3"/>
            <w:tcBorders>
              <w:top w:val="single" w:sz="4" w:space="0" w:color="000000"/>
            </w:tcBorders>
            <w:shd w:fill="EAEAEA"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sales</w:t>
            </w:r>
          </w:p>
        </w:tc>
        <w:tc>
          <w:tcPr>
            <w:tcW w:w="131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United States</w:t>
            </w:r>
          </w:p>
        </w:tc>
        <w:tc>
          <w:tcPr>
            <w:tcW w:w="25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989.4 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1,900.2 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International</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12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83.2 </w:t>
            </w:r>
          </w:p>
        </w:tc>
        <w:tc>
          <w:tcPr>
            <w:tcW w:w="167"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Utility Solutions</w:t>
            </w:r>
          </w:p>
        </w:tc>
        <w:tc>
          <w:tcPr>
            <w:tcW w:w="2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1,025.8</w:t>
            </w:r>
            <w:r>
              <w:rPr>
                <w:color w:val="000000"/>
              </w:rPr>
              <w:t>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935.5</w:t>
            </w:r>
            <w:r>
              <w:rPr>
                <w:color w:val="000000"/>
              </w:rPr>
              <w:t> </w:t>
            </w:r>
          </w:p>
        </w:tc>
        <w:tc>
          <w:tcPr>
            <w:tcW w:w="12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1,974.7</w:t>
            </w:r>
            <w:r>
              <w:rPr>
                <w:color w:val="000000"/>
              </w:rPr>
              <w:t>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1,792.6</w:t>
            </w:r>
            <w:r>
              <w:rPr>
                <w:color w:val="000000"/>
              </w:rPr>
              <w:t> </w:t>
            </w:r>
          </w:p>
        </w:tc>
        <w:tc>
          <w:tcPr>
            <w:tcW w:w="16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United States</w:t>
            </w:r>
          </w:p>
        </w:tc>
        <w:tc>
          <w:tcPr>
            <w:tcW w:w="2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608.4 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478.5 </w:t>
            </w:r>
          </w:p>
        </w:tc>
        <w:tc>
          <w:tcPr>
            <w:tcW w:w="12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921.3 </w:t>
            </w:r>
          </w:p>
        </w:tc>
        <w:tc>
          <w:tcPr>
            <w:tcW w:w="167"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International</w:t>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Electrical Solutions</w:t>
            </w:r>
          </w:p>
        </w:tc>
        <w:tc>
          <w:tcPr>
            <w:tcW w:w="2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686.0</w:t>
            </w:r>
            <w:r>
              <w:rPr>
                <w:color w:val="000000"/>
              </w:rPr>
              <w:t>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548.8</w:t>
            </w:r>
            <w:r>
              <w:rPr>
                <w:color w:val="000000"/>
              </w:rPr>
              <w:t> </w:t>
            </w:r>
          </w:p>
        </w:tc>
        <w:tc>
          <w:tcPr>
            <w:tcW w:w="12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1,253.8</w:t>
            </w:r>
            <w:r>
              <w:rPr>
                <w:color w:val="000000"/>
              </w:rPr>
              <w:t>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1,056.9</w:t>
            </w:r>
            <w:r>
              <w:rPr>
                <w:color w:val="000000"/>
              </w:rPr>
              <w:t> </w:t>
            </w:r>
          </w:p>
        </w:tc>
        <w:tc>
          <w:tcPr>
            <w:tcW w:w="167"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5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1,711.8</w:t>
            </w:r>
            <w:r>
              <w:rPr>
                <w:color w:val="000000"/>
              </w:rPr>
              <w:t> </w:t>
            </w:r>
          </w:p>
        </w:tc>
        <w:tc>
          <w:tcPr>
            <w:tcW w:w="12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1,484.3</w:t>
            </w:r>
            <w:r>
              <w:rPr>
                <w:color w:val="000000"/>
              </w:rPr>
              <w:t> </w:t>
            </w:r>
          </w:p>
        </w:tc>
        <w:tc>
          <w:tcPr>
            <w:tcW w:w="12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3,228.5</w:t>
            </w:r>
            <w:r>
              <w:rPr>
                <w:color w:val="000000"/>
              </w:rPr>
              <w:t> </w:t>
            </w:r>
          </w:p>
        </w:tc>
        <w:tc>
          <w:tcPr>
            <w:tcW w:w="11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2,849.5</w:t>
            </w:r>
            <w:r>
              <w:rPr>
                <w:color w:val="000000"/>
              </w:rPr>
              <w:t> </w:t>
            </w:r>
          </w:p>
        </w:tc>
        <w:tc>
          <w:tcPr>
            <w:tcW w:w="16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Contract Balances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contract liabilities consist of advance customer payments for products as well as deferred revenue on service obligations and extended warranties. Deferred revenue is included in Other accrued liabilities in the Condensed Consolidated Balance Sheets.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Contract liabilities were $158.7 million as of June 30, 2026 compared to $174.6 million as of December 31, 2025. The $15.9 million decrease in our contract liabilities balance was primarily due to the recognition of $75.1 million in revenue related to amounts that were recorded in contract liabilities at January 1, 2026 partially offset by a $59.2 million net increase in current year deferrals primarily due to timing of advance payments on certain orders. The ending balance of contract assets as of June 30, 2026 and December 31, 2025, was $66.4 million and $48.2 million, respectively, with the increase being driven by revenue recognized in excess of billings. Credit losses recognized on our receivables and contract assets were immaterial for the three and six months ended June 30, 2026.</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14</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4</w:t>
      </w:r>
      <w:r>
        <w:rPr>
          <w:color w:val="000000"/>
        </w:rPr>
        <w:t xml:space="preserve"> </w:t>
      </w:r>
      <w:r>
        <w:rPr>
          <w:rFonts w:ascii="Arial;sans-serif" w:hAnsi="Arial;sans-serif"/>
          <w:b/>
          <w:color w:val="000000"/>
          <w:sz w:val="28"/>
        </w:rPr>
        <w:t>Segment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Company's results are reported in the following two business segments, Utility Solutions and Electrical Solutions. These segments reflect how the Company's businesses are managed, the type of products sold and the end markets served.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For further information regarding the Company's segment operations, see Note 20 Industry Segments and Geographic Area Information within the Company’s audited consolidated financial statements set forth in its Annual Report on Form 10-K for the fiscal year ended December 31,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chief operating decision maker is the Chairman of the Board, President and Chief Executive Officer (CODM). The Company's method for measuring profitability on a reportable segment basis and used by the CODM to assess performance and allocate resources is operating income. This measure is used to monitor performance compared to prior period, forecasted results, and the annual plan.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tables set forth financial information by reporting segment (in millions). When reading the data, the following items should be noted: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Segment Net sales comprise sales to unaffiliated customers - inter-segment and inter-area sales are not significant and are eliminated in consolidation.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Segment operating income consists of Net sales less operating expenses, including total corporate expenses, which are generally allocated to each segment on the basis of the segment's percentage of consolidated Net sales. Interest expense and investment income and other expense, net have not been allocated to segments as these items are centrally managed by the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General corporate assets not allocated to segments are principally cash, prepaid pensions, investments and deferred taxes. These assets have not been allocated as they are centrally managed by the Company. </w:t>
      </w:r>
    </w:p>
    <w:tbl>
      <w:tblPr>
        <w:tblW w:w="8987" w:type="dxa"/>
        <w:jc w:val="left"/>
        <w:tblInd w:w="0" w:type="dxa"/>
        <w:tblLayout w:type="fixed"/>
        <w:tblCellMar>
          <w:top w:w="28" w:type="dxa"/>
          <w:left w:w="28" w:type="dxa"/>
          <w:bottom w:w="28" w:type="dxa"/>
          <w:right w:w="28" w:type="dxa"/>
        </w:tblCellMar>
      </w:tblPr>
      <w:tblGrid>
        <w:gridCol w:w="1371"/>
        <w:gridCol w:w="1204"/>
        <w:gridCol w:w="1219"/>
        <w:gridCol w:w="219"/>
        <w:gridCol w:w="811"/>
        <w:gridCol w:w="281"/>
        <w:gridCol w:w="219"/>
        <w:gridCol w:w="811"/>
        <w:gridCol w:w="281"/>
        <w:gridCol w:w="211"/>
        <w:gridCol w:w="781"/>
        <w:gridCol w:w="271"/>
        <w:gridCol w:w="211"/>
        <w:gridCol w:w="781"/>
        <w:gridCol w:w="316"/>
      </w:tblGrid>
      <w:tr>
        <w:trPr/>
        <w:tc>
          <w:tcPr>
            <w:tcW w:w="137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5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2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3794" w:type="dxa"/>
            <w:gridSpan w:val="3"/>
            <w:tcBorders>
              <w:top w:val="single" w:sz="4"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Sales:</w:t>
            </w:r>
          </w:p>
        </w:tc>
        <w:tc>
          <w:tcPr>
            <w:tcW w:w="131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21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1,025.8 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1,974.7 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686.0 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548.8 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1,253.8 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1,056.9 </w:t>
            </w:r>
          </w:p>
        </w:tc>
        <w:tc>
          <w:tcPr>
            <w:tcW w:w="31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NET SALES</w:t>
            </w:r>
          </w:p>
        </w:tc>
        <w:tc>
          <w:tcPr>
            <w:tcW w:w="21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1,711.8</w:t>
            </w:r>
            <w:r>
              <w:rPr>
                <w:color w:val="000000"/>
              </w:rPr>
              <w:t> </w:t>
            </w:r>
          </w:p>
        </w:tc>
        <w:tc>
          <w:tcPr>
            <w:tcW w:w="28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1,484.3</w:t>
            </w:r>
            <w:r>
              <w:rPr>
                <w:color w:val="000000"/>
              </w:rPr>
              <w:t> </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3,228.5</w:t>
            </w:r>
            <w:r>
              <w:rPr>
                <w:color w:val="000000"/>
              </w:rPr>
              <w:t> </w:t>
            </w:r>
          </w:p>
        </w:tc>
        <w:tc>
          <w:tcPr>
            <w:tcW w:w="27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2,849.5</w:t>
            </w:r>
            <w:r>
              <w:rPr>
                <w:color w:val="000000"/>
              </w:rPr>
              <w:t> </w:t>
            </w:r>
          </w:p>
        </w:tc>
        <w:tc>
          <w:tcPr>
            <w:tcW w:w="3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 of Goods Sold:</w:t>
            </w:r>
          </w:p>
        </w:tc>
        <w:tc>
          <w:tcPr>
            <w:tcW w:w="131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21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654.8 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1,286.6 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444.0 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823.6 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671.8 </w:t>
            </w:r>
          </w:p>
        </w:tc>
        <w:tc>
          <w:tcPr>
            <w:tcW w:w="31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Cost of Goods Sold</w:t>
            </w:r>
          </w:p>
        </w:tc>
        <w:tc>
          <w:tcPr>
            <w:tcW w:w="21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1,098.8</w:t>
            </w:r>
            <w:r>
              <w:rPr>
                <w:color w:val="000000"/>
              </w:rPr>
              <w:t> </w:t>
            </w:r>
          </w:p>
        </w:tc>
        <w:tc>
          <w:tcPr>
            <w:tcW w:w="28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932.2</w:t>
            </w:r>
            <w:r>
              <w:rPr>
                <w:color w:val="000000"/>
              </w:rPr>
              <w:t> </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2,110.2</w:t>
            </w:r>
            <w:r>
              <w:rPr>
                <w:color w:val="000000"/>
              </w:rPr>
              <w:t> </w:t>
            </w:r>
          </w:p>
        </w:tc>
        <w:tc>
          <w:tcPr>
            <w:tcW w:w="27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1,854.8</w:t>
            </w:r>
            <w:r>
              <w:rPr>
                <w:color w:val="000000"/>
              </w:rPr>
              <w:t> </w:t>
            </w:r>
          </w:p>
        </w:tc>
        <w:tc>
          <w:tcPr>
            <w:tcW w:w="3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31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21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371.0 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688.1 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430.2 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385.1 </w:t>
            </w:r>
          </w:p>
        </w:tc>
        <w:tc>
          <w:tcPr>
            <w:tcW w:w="31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Gross Profit</w:t>
            </w:r>
          </w:p>
        </w:tc>
        <w:tc>
          <w:tcPr>
            <w:tcW w:w="21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613.0</w:t>
            </w:r>
            <w:r>
              <w:rPr>
                <w:color w:val="000000"/>
              </w:rPr>
              <w:t> </w:t>
            </w:r>
          </w:p>
        </w:tc>
        <w:tc>
          <w:tcPr>
            <w:tcW w:w="28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552.1</w:t>
            </w:r>
            <w:r>
              <w:rPr>
                <w:color w:val="000000"/>
              </w:rPr>
              <w:t> </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1,118.3</w:t>
            </w:r>
            <w:r>
              <w:rPr>
                <w:color w:val="000000"/>
              </w:rPr>
              <w:t> </w:t>
            </w:r>
          </w:p>
        </w:tc>
        <w:tc>
          <w:tcPr>
            <w:tcW w:w="27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994.7</w:t>
            </w:r>
            <w:r>
              <w:rPr>
                <w:color w:val="000000"/>
              </w:rPr>
              <w:t> </w:t>
            </w:r>
          </w:p>
        </w:tc>
        <w:tc>
          <w:tcPr>
            <w:tcW w:w="3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Selling and Administrative Expenses:</w:t>
            </w:r>
          </w:p>
        </w:tc>
        <w:tc>
          <w:tcPr>
            <w:tcW w:w="131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21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187.4 </w:t>
            </w:r>
          </w:p>
        </w:tc>
        <w:tc>
          <w:tcPr>
            <w:tcW w:w="31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Selling and Administrative Expenses</w:t>
            </w:r>
          </w:p>
        </w:tc>
        <w:tc>
          <w:tcPr>
            <w:tcW w:w="21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264.4</w:t>
            </w:r>
            <w:r>
              <w:rPr>
                <w:color w:val="000000"/>
              </w:rPr>
              <w:t> </w:t>
            </w:r>
          </w:p>
        </w:tc>
        <w:tc>
          <w:tcPr>
            <w:tcW w:w="28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215.8</w:t>
            </w:r>
            <w:r>
              <w:rPr>
                <w:color w:val="000000"/>
              </w:rPr>
              <w:t> </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505.9</w:t>
            </w:r>
            <w:r>
              <w:rPr>
                <w:color w:val="000000"/>
              </w:rPr>
              <w:t> </w:t>
            </w:r>
          </w:p>
        </w:tc>
        <w:tc>
          <w:tcPr>
            <w:tcW w:w="27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428.0</w:t>
            </w:r>
            <w:r>
              <w:rPr>
                <w:color w:val="000000"/>
              </w:rPr>
              <w:t> </w:t>
            </w:r>
          </w:p>
        </w:tc>
        <w:tc>
          <w:tcPr>
            <w:tcW w:w="3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131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21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409.0 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197.7 </w:t>
            </w:r>
          </w:p>
        </w:tc>
        <w:tc>
          <w:tcPr>
            <w:tcW w:w="31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Income</w:t>
            </w:r>
          </w:p>
        </w:tc>
        <w:tc>
          <w:tcPr>
            <w:tcW w:w="21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348.6</w:t>
            </w:r>
            <w:r>
              <w:rPr>
                <w:color w:val="000000"/>
              </w:rPr>
              <w:t> </w:t>
            </w:r>
          </w:p>
        </w:tc>
        <w:tc>
          <w:tcPr>
            <w:tcW w:w="28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336.3</w:t>
            </w:r>
            <w:r>
              <w:rPr>
                <w:color w:val="000000"/>
              </w:rPr>
              <w:t> </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612.4</w:t>
            </w:r>
            <w:r>
              <w:rPr>
                <w:color w:val="000000"/>
              </w:rPr>
              <w:t> </w:t>
            </w:r>
          </w:p>
        </w:tc>
        <w:tc>
          <w:tcPr>
            <w:tcW w:w="27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566.7</w:t>
            </w:r>
            <w:r>
              <w:rPr>
                <w:color w:val="000000"/>
              </w:rPr>
              <w:t> </w:t>
            </w:r>
          </w:p>
        </w:tc>
        <w:tc>
          <w:tcPr>
            <w:tcW w:w="3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disposition of business</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1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31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21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303.7</w:t>
            </w:r>
            <w:r>
              <w:rPr>
                <w:color w:val="000000"/>
              </w:rPr>
              <w:t> </w:t>
            </w:r>
          </w:p>
        </w:tc>
        <w:tc>
          <w:tcPr>
            <w:tcW w:w="28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315.2</w:t>
            </w:r>
            <w:r>
              <w:rPr>
                <w:color w:val="000000"/>
              </w:rPr>
              <w:t> </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540.1</w:t>
            </w:r>
            <w:r>
              <w:rPr>
                <w:color w:val="000000"/>
              </w:rPr>
              <w:t> </w:t>
            </w:r>
          </w:p>
        </w:tc>
        <w:tc>
          <w:tcPr>
            <w:tcW w:w="27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526.5</w:t>
            </w:r>
            <w:r>
              <w:rPr>
                <w:color w:val="000000"/>
              </w:rPr>
              <w:t> </w:t>
            </w:r>
          </w:p>
        </w:tc>
        <w:tc>
          <w:tcPr>
            <w:tcW w:w="3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as a % of Net Sales</w:t>
            </w:r>
          </w:p>
        </w:tc>
        <w:tc>
          <w:tcPr>
            <w:tcW w:w="131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0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28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9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Income as a % of Net Sales</w:t>
            </w:r>
          </w:p>
        </w:tc>
        <w:tc>
          <w:tcPr>
            <w:tcW w:w="1030"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w:t>
            </w:r>
            <w:r>
              <w:rPr>
                <w:color w:val="000000"/>
              </w:rPr>
              <w:t> </w:t>
            </w:r>
          </w:p>
        </w:tc>
        <w:tc>
          <w:tcPr>
            <w:tcW w:w="28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0"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w:t>
            </w:r>
            <w:r>
              <w:rPr>
                <w:color w:val="000000"/>
              </w:rPr>
              <w:t> </w:t>
            </w:r>
          </w:p>
        </w:tc>
        <w:tc>
          <w:tcPr>
            <w:tcW w:w="28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92"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w:t>
            </w:r>
            <w:r>
              <w:rPr>
                <w:color w:val="000000"/>
              </w:rPr>
              <w:t> </w:t>
            </w:r>
          </w:p>
        </w:tc>
        <w:tc>
          <w:tcPr>
            <w:tcW w:w="27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92"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w:t>
            </w:r>
            <w:r>
              <w:rPr>
                <w:color w:val="000000"/>
              </w:rPr>
              <w:t> </w:t>
            </w:r>
          </w:p>
        </w:tc>
        <w:tc>
          <w:tcPr>
            <w:tcW w:w="316"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15</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100" w:after="283"/>
        <w:jc w:val="left"/>
        <w:rPr/>
      </w:pPr>
      <w:r>
        <w:rPr/>
      </w:r>
    </w:p>
    <w:tbl>
      <w:tblPr>
        <w:tblW w:w="9042" w:type="dxa"/>
        <w:jc w:val="left"/>
        <w:tblInd w:w="0" w:type="dxa"/>
        <w:tblLayout w:type="fixed"/>
        <w:tblCellMar>
          <w:top w:w="28" w:type="dxa"/>
          <w:left w:w="28" w:type="dxa"/>
          <w:bottom w:w="28" w:type="dxa"/>
          <w:right w:w="28" w:type="dxa"/>
        </w:tblCellMar>
      </w:tblPr>
      <w:tblGrid>
        <w:gridCol w:w="1440"/>
        <w:gridCol w:w="1264"/>
        <w:gridCol w:w="1271"/>
        <w:gridCol w:w="327"/>
        <w:gridCol w:w="816"/>
        <w:gridCol w:w="169"/>
        <w:gridCol w:w="327"/>
        <w:gridCol w:w="816"/>
        <w:gridCol w:w="169"/>
        <w:gridCol w:w="280"/>
        <w:gridCol w:w="837"/>
        <w:gridCol w:w="144"/>
        <w:gridCol w:w="280"/>
        <w:gridCol w:w="698"/>
        <w:gridCol w:w="204"/>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1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2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18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397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Expenditures:</w:t>
            </w:r>
          </w:p>
        </w:tc>
        <w:tc>
          <w:tcPr>
            <w:tcW w:w="1312"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327"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14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6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20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CAPITAL EXPENDITURES</w:t>
            </w:r>
          </w:p>
        </w:tc>
        <w:tc>
          <w:tcPr>
            <w:tcW w:w="32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37.0</w:t>
            </w:r>
            <w:r>
              <w:rPr>
                <w:color w:val="000000"/>
              </w:rPr>
              <w:t> </w:t>
            </w:r>
          </w:p>
        </w:tc>
        <w:tc>
          <w:tcPr>
            <w:tcW w:w="16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39.9</w:t>
            </w:r>
            <w:r>
              <w:rPr>
                <w:color w:val="000000"/>
              </w:rPr>
              <w:t> </w:t>
            </w:r>
          </w:p>
        </w:tc>
        <w:tc>
          <w:tcPr>
            <w:tcW w:w="16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3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77.6</w:t>
            </w:r>
            <w:r>
              <w:rPr>
                <w:color w:val="000000"/>
              </w:rPr>
              <w:t> </w:t>
            </w:r>
          </w:p>
        </w:tc>
        <w:tc>
          <w:tcPr>
            <w:tcW w:w="14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65.9</w:t>
            </w:r>
            <w:r>
              <w:rPr>
                <w:color w:val="000000"/>
              </w:rPr>
              <w:t> </w:t>
            </w:r>
          </w:p>
        </w:tc>
        <w:tc>
          <w:tcPr>
            <w:tcW w:w="20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Depreciation and Amortization:</w:t>
            </w:r>
          </w:p>
        </w:tc>
        <w:tc>
          <w:tcPr>
            <w:tcW w:w="1312"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327"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14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6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20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DEPRECIATION AND AMORTIZATION</w:t>
            </w:r>
          </w:p>
        </w:tc>
        <w:tc>
          <w:tcPr>
            <w:tcW w:w="32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67.6</w:t>
            </w:r>
            <w:r>
              <w:rPr>
                <w:color w:val="000000"/>
              </w:rPr>
              <w:t> </w:t>
            </w:r>
          </w:p>
        </w:tc>
        <w:tc>
          <w:tcPr>
            <w:tcW w:w="16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48.3</w:t>
            </w:r>
            <w:r>
              <w:rPr>
                <w:color w:val="000000"/>
              </w:rPr>
              <w:t> </w:t>
            </w:r>
          </w:p>
        </w:tc>
        <w:tc>
          <w:tcPr>
            <w:tcW w:w="16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3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127.8</w:t>
            </w:r>
            <w:r>
              <w:rPr>
                <w:color w:val="000000"/>
              </w:rPr>
              <w:t> </w:t>
            </w:r>
          </w:p>
        </w:tc>
        <w:tc>
          <w:tcPr>
            <w:tcW w:w="14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95.2</w:t>
            </w:r>
            <w:r>
              <w:rPr>
                <w:color w:val="000000"/>
              </w:rPr>
              <w:t> </w:t>
            </w:r>
          </w:p>
        </w:tc>
        <w:tc>
          <w:tcPr>
            <w:tcW w:w="20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4784" w:type="dxa"/>
        <w:jc w:val="left"/>
        <w:tblInd w:w="0" w:type="dxa"/>
        <w:tblLayout w:type="fixed"/>
        <w:tblCellMar>
          <w:top w:w="28" w:type="dxa"/>
          <w:left w:w="28" w:type="dxa"/>
          <w:bottom w:w="28" w:type="dxa"/>
          <w:right w:w="28" w:type="dxa"/>
        </w:tblCellMar>
      </w:tblPr>
      <w:tblGrid>
        <w:gridCol w:w="607"/>
        <w:gridCol w:w="532"/>
        <w:gridCol w:w="541"/>
        <w:gridCol w:w="225"/>
        <w:gridCol w:w="948"/>
        <w:gridCol w:w="116"/>
        <w:gridCol w:w="334"/>
        <w:gridCol w:w="1237"/>
        <w:gridCol w:w="244"/>
      </w:tblGrid>
      <w:tr>
        <w:trPr/>
        <w:tc>
          <w:tcPr>
            <w:tcW w:w="60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168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89"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225"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8"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5,659.9 </w:t>
            </w:r>
          </w:p>
        </w:tc>
        <w:tc>
          <w:tcPr>
            <w:tcW w:w="11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5,603.8 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17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5,860.8 </w:t>
            </w:r>
          </w:p>
        </w:tc>
        <w:tc>
          <w:tcPr>
            <w:tcW w:w="11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2,238.8 </w:t>
            </w:r>
          </w:p>
        </w:tc>
        <w:tc>
          <w:tcPr>
            <w:tcW w:w="24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Corporate</w:t>
            </w:r>
          </w:p>
        </w:tc>
        <w:tc>
          <w:tcPr>
            <w:tcW w:w="117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325.5 </w:t>
            </w:r>
          </w:p>
        </w:tc>
        <w:tc>
          <w:tcPr>
            <w:tcW w:w="11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25"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11,846.2</w:t>
            </w:r>
            <w:r>
              <w:rPr>
                <w:color w:val="000000"/>
              </w:rPr>
              <w:t> </w:t>
            </w:r>
          </w:p>
        </w:tc>
        <w:tc>
          <w:tcPr>
            <w:tcW w:w="11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37"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8,228.8</w:t>
            </w:r>
            <w:r>
              <w:rPr>
                <w:color w:val="000000"/>
              </w:rPr>
              <w:t> </w:t>
            </w:r>
          </w:p>
        </w:tc>
        <w:tc>
          <w:tcPr>
            <w:tcW w:w="24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16</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5</w:t>
      </w:r>
      <w:r>
        <w:rPr>
          <w:color w:val="000000"/>
        </w:rPr>
        <w:t xml:space="preserve"> </w:t>
      </w:r>
      <w:r>
        <w:rPr>
          <w:rFonts w:ascii="Arial;sans-serif" w:hAnsi="Arial;sans-serif"/>
          <w:b/>
          <w:color w:val="000000"/>
          <w:sz w:val="28"/>
        </w:rPr>
        <w:t>Inventories, net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Inventories, net consists of the following (in millions):</w:t>
      </w:r>
    </w:p>
    <w:tbl>
      <w:tblPr>
        <w:tblW w:w="4888" w:type="dxa"/>
        <w:jc w:val="left"/>
        <w:tblInd w:w="0" w:type="dxa"/>
        <w:tblLayout w:type="fixed"/>
        <w:tblCellMar>
          <w:top w:w="28" w:type="dxa"/>
          <w:left w:w="28" w:type="dxa"/>
          <w:bottom w:w="28" w:type="dxa"/>
          <w:right w:w="28" w:type="dxa"/>
        </w:tblCellMar>
      </w:tblPr>
      <w:tblGrid>
        <w:gridCol w:w="646"/>
        <w:gridCol w:w="566"/>
        <w:gridCol w:w="572"/>
        <w:gridCol w:w="247"/>
        <w:gridCol w:w="915"/>
        <w:gridCol w:w="127"/>
        <w:gridCol w:w="334"/>
        <w:gridCol w:w="1237"/>
        <w:gridCol w:w="244"/>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178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w:t>
            </w:r>
          </w:p>
        </w:tc>
        <w:tc>
          <w:tcPr>
            <w:tcW w:w="24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474.4 </w:t>
            </w:r>
          </w:p>
        </w:tc>
        <w:tc>
          <w:tcPr>
            <w:tcW w:w="127"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7"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455.0 </w:t>
            </w:r>
          </w:p>
        </w:tc>
        <w:tc>
          <w:tcPr>
            <w:tcW w:w="24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Work-in-process</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264.8 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528.3 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401.3 </w:t>
            </w:r>
          </w:p>
        </w:tc>
        <w:tc>
          <w:tcPr>
            <w:tcW w:w="24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INVENTORIES, NET</w:t>
            </w:r>
          </w:p>
        </w:tc>
        <w:tc>
          <w:tcPr>
            <w:tcW w:w="24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5"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1,267.5</w:t>
            </w:r>
            <w:r>
              <w:rPr>
                <w:color w:val="000000"/>
              </w:rPr>
              <w:t> </w:t>
            </w:r>
          </w:p>
        </w:tc>
        <w:tc>
          <w:tcPr>
            <w:tcW w:w="12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37"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1,083.8</w:t>
            </w:r>
            <w:r>
              <w:rPr>
                <w:color w:val="000000"/>
              </w:rPr>
              <w:t> </w:t>
            </w:r>
          </w:p>
        </w:tc>
        <w:tc>
          <w:tcPr>
            <w:tcW w:w="244"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17</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6</w:t>
      </w:r>
      <w:r>
        <w:rPr>
          <w:color w:val="000000"/>
        </w:rPr>
        <w:t xml:space="preserve"> </w:t>
      </w:r>
      <w:r>
        <w:rPr>
          <w:rFonts w:ascii="Arial;sans-serif" w:hAnsi="Arial;sans-serif"/>
          <w:b/>
          <w:color w:val="000000"/>
          <w:sz w:val="28"/>
        </w:rPr>
        <w:t>Goodwill and Other Intangible Assets, net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Changes in the carrying values of goodwill for the six months ended June 30, 2026, by segment, were as follows (in millions):</w:t>
      </w:r>
    </w:p>
    <w:tbl>
      <w:tblPr>
        <w:tblW w:w="7505" w:type="dxa"/>
        <w:jc w:val="left"/>
        <w:tblInd w:w="0" w:type="dxa"/>
        <w:tblLayout w:type="fixed"/>
        <w:tblCellMar>
          <w:top w:w="28" w:type="dxa"/>
          <w:left w:w="28" w:type="dxa"/>
          <w:bottom w:w="28" w:type="dxa"/>
          <w:right w:w="28" w:type="dxa"/>
        </w:tblCellMar>
      </w:tblPr>
      <w:tblGrid>
        <w:gridCol w:w="1146"/>
        <w:gridCol w:w="1008"/>
        <w:gridCol w:w="1011"/>
        <w:gridCol w:w="276"/>
        <w:gridCol w:w="1022"/>
        <w:gridCol w:w="142"/>
        <w:gridCol w:w="336"/>
        <w:gridCol w:w="1245"/>
        <w:gridCol w:w="173"/>
        <w:gridCol w:w="211"/>
        <w:gridCol w:w="78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Utility Solutions</w:t>
            </w:r>
          </w:p>
        </w:tc>
        <w:tc>
          <w:tcPr>
            <w:tcW w:w="17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Electrical Solutions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316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2025</w:t>
            </w:r>
          </w:p>
        </w:tc>
        <w:tc>
          <w:tcPr>
            <w:tcW w:w="27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2,384.0</w:t>
            </w:r>
            <w:r>
              <w:rPr>
                <w:color w:val="000000"/>
              </w:rPr>
              <w:t> </w:t>
            </w:r>
          </w:p>
        </w:tc>
        <w:tc>
          <w:tcPr>
            <w:tcW w:w="142"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676.8</w:t>
            </w:r>
            <w:r>
              <w:rPr>
                <w:color w:val="000000"/>
              </w:rPr>
              <w:t> </w:t>
            </w:r>
          </w:p>
        </w:tc>
        <w:tc>
          <w:tcPr>
            <w:tcW w:w="17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3,060.8</w:t>
            </w:r>
            <w:r>
              <w:rPr>
                <w:color w:val="000000"/>
              </w:rPr>
              <w:t> </w:t>
            </w:r>
          </w:p>
        </w:tc>
        <w:tc>
          <w:tcPr>
            <w:tcW w:w="15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Prior year acquisitions</w:t>
            </w:r>
            <w:r>
              <w:rPr>
                <w:rFonts w:ascii="Arial;sans-serif" w:hAnsi="Arial;sans-serif"/>
                <w:b w:val="false"/>
                <w:color w:val="000000"/>
                <w:sz w:val="12"/>
              </w:rPr>
              <w:t>(1)</w:t>
            </w:r>
          </w:p>
        </w:tc>
        <w:tc>
          <w:tcPr>
            <w:tcW w:w="129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4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Current year acquisitions</w:t>
            </w:r>
            <w:r>
              <w:rPr>
                <w:rFonts w:ascii="Arial;sans-serif" w:hAnsi="Arial;sans-serif"/>
                <w:b w:val="false"/>
                <w:color w:val="000000"/>
                <w:sz w:val="12"/>
              </w:rPr>
              <w:t>(1)</w:t>
            </w:r>
          </w:p>
        </w:tc>
        <w:tc>
          <w:tcPr>
            <w:tcW w:w="129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1,288.7 </w:t>
            </w:r>
          </w:p>
        </w:tc>
        <w:tc>
          <w:tcPr>
            <w:tcW w:w="17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1,288.7 </w:t>
            </w:r>
          </w:p>
        </w:tc>
        <w:tc>
          <w:tcPr>
            <w:tcW w:w="15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translation </w:t>
            </w:r>
          </w:p>
        </w:tc>
        <w:tc>
          <w:tcPr>
            <w:tcW w:w="129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7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27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2,389.5</w:t>
            </w:r>
            <w:r>
              <w:rPr>
                <w:color w:val="000000"/>
              </w:rPr>
              <w:t> </w:t>
            </w:r>
          </w:p>
        </w:tc>
        <w:tc>
          <w:tcPr>
            <w:tcW w:w="14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5"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1,964.6</w:t>
            </w:r>
            <w:r>
              <w:rPr>
                <w:color w:val="000000"/>
              </w:rPr>
              <w:t> </w:t>
            </w:r>
          </w:p>
        </w:tc>
        <w:tc>
          <w:tcPr>
            <w:tcW w:w="17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4,354.1</w:t>
            </w:r>
            <w:r>
              <w:rPr>
                <w:color w:val="000000"/>
              </w:rPr>
              <w:t> </w:t>
            </w:r>
          </w:p>
        </w:tc>
        <w:tc>
          <w:tcPr>
            <w:tcW w:w="15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color w:val="000000"/>
        </w:rPr>
        <w:t> </w:t>
      </w:r>
      <w:r>
        <w:rPr>
          <w:rFonts w:ascii="Arial;sans-serif" w:hAnsi="Arial;sans-serif"/>
          <w:b w:val="false"/>
          <w:color w:val="000000"/>
          <w:sz w:val="12"/>
        </w:rPr>
        <w:t>(1)</w:t>
      </w:r>
      <w:r>
        <w:rPr>
          <w:color w:val="000000"/>
        </w:rPr>
        <w:t xml:space="preserve"> </w:t>
      </w:r>
      <w:r>
        <w:rPr>
          <w:rFonts w:ascii="Arial;sans-serif" w:hAnsi="Arial;sans-serif"/>
          <w:b w:val="false"/>
          <w:i/>
          <w:color w:val="000000"/>
          <w:sz w:val="18"/>
        </w:rPr>
        <w:t>Refer to Note 2 - Business Acquisitions 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carrying value of other intangible assets included in Other intangible assets, net in the Condensed Consolidated Balance Sheets is as follows (in millions):</w:t>
      </w:r>
    </w:p>
    <w:tbl>
      <w:tblPr>
        <w:tblW w:w="8639" w:type="dxa"/>
        <w:jc w:val="left"/>
        <w:tblInd w:w="0" w:type="dxa"/>
        <w:tblLayout w:type="fixed"/>
        <w:tblCellMar>
          <w:top w:w="28" w:type="dxa"/>
          <w:left w:w="28" w:type="dxa"/>
          <w:bottom w:w="28" w:type="dxa"/>
          <w:right w:w="28" w:type="dxa"/>
        </w:tblCellMar>
      </w:tblPr>
      <w:tblGrid>
        <w:gridCol w:w="1231"/>
        <w:gridCol w:w="1085"/>
        <w:gridCol w:w="1088"/>
        <w:gridCol w:w="258"/>
        <w:gridCol w:w="958"/>
        <w:gridCol w:w="133"/>
        <w:gridCol w:w="276"/>
        <w:gridCol w:w="826"/>
        <w:gridCol w:w="144"/>
        <w:gridCol w:w="258"/>
        <w:gridCol w:w="958"/>
        <w:gridCol w:w="133"/>
        <w:gridCol w:w="273"/>
        <w:gridCol w:w="817"/>
        <w:gridCol w:w="201"/>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26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Gross Amount</w:t>
            </w:r>
          </w:p>
        </w:tc>
        <w:tc>
          <w:tcPr>
            <w:tcW w:w="12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Accumulated</w:t>
              <w:br/>
              <w:t>Amortization</w:t>
            </w:r>
          </w:p>
        </w:tc>
        <w:tc>
          <w:tcPr>
            <w:tcW w:w="13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Gross Amount</w:t>
            </w:r>
          </w:p>
        </w:tc>
        <w:tc>
          <w:tcPr>
            <w:tcW w:w="12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Accumulated</w:t>
              <w:br/>
              <w:t>Amortization</w:t>
            </w:r>
          </w:p>
        </w:tc>
      </w:tr>
      <w:tr>
        <w:trPr/>
        <w:tc>
          <w:tcPr>
            <w:tcW w:w="34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Definite-lived:</w:t>
            </w:r>
          </w:p>
        </w:tc>
        <w:tc>
          <w:tcPr>
            <w:tcW w:w="1349"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6"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Patents, tradenames and trademarks</w:t>
            </w:r>
          </w:p>
        </w:tc>
        <w:tc>
          <w:tcPr>
            <w:tcW w:w="258"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315.0 </w:t>
            </w:r>
          </w:p>
        </w:tc>
        <w:tc>
          <w:tcPr>
            <w:tcW w:w="13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21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3,424.3 </w:t>
            </w:r>
          </w:p>
        </w:tc>
        <w:tc>
          <w:tcPr>
            <w:tcW w:w="13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(560.0)</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1,633.6 </w:t>
            </w:r>
          </w:p>
        </w:tc>
        <w:tc>
          <w:tcPr>
            <w:tcW w:w="13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(517.6)</w:t>
            </w:r>
          </w:p>
        </w:tc>
        <w:tc>
          <w:tcPr>
            <w:tcW w:w="20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 and other</w:t>
            </w:r>
          </w:p>
        </w:tc>
        <w:tc>
          <w:tcPr>
            <w:tcW w:w="121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277.9 </w:t>
            </w:r>
          </w:p>
        </w:tc>
        <w:tc>
          <w:tcPr>
            <w:tcW w:w="13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278.6 </w:t>
            </w:r>
          </w:p>
        </w:tc>
        <w:tc>
          <w:tcPr>
            <w:tcW w:w="133"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w:t>
            </w:r>
          </w:p>
        </w:tc>
        <w:tc>
          <w:tcPr>
            <w:tcW w:w="201"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DEFINITE-LIVED INTANGIBLES</w:t>
            </w:r>
          </w:p>
        </w:tc>
        <w:tc>
          <w:tcPr>
            <w:tcW w:w="25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4,017.2</w:t>
            </w:r>
            <w:r>
              <w:rPr>
                <w:color w:val="000000"/>
              </w:rPr>
              <w:t> </w:t>
            </w:r>
          </w:p>
        </w:tc>
        <w:tc>
          <w:tcPr>
            <w:tcW w:w="13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(861.0)</w:t>
            </w:r>
          </w:p>
        </w:tc>
        <w:tc>
          <w:tcPr>
            <w:tcW w:w="14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2,162.2</w:t>
            </w:r>
            <w:r>
              <w:rPr>
                <w:color w:val="000000"/>
              </w:rPr>
              <w:t> </w:t>
            </w:r>
          </w:p>
        </w:tc>
        <w:tc>
          <w:tcPr>
            <w:tcW w:w="133"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7"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(801.7)</w:t>
            </w:r>
          </w:p>
        </w:tc>
        <w:tc>
          <w:tcPr>
            <w:tcW w:w="20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w:t>
            </w:r>
          </w:p>
        </w:tc>
        <w:tc>
          <w:tcPr>
            <w:tcW w:w="1349"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6"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Tradenames and other</w:t>
            </w:r>
          </w:p>
        </w:tc>
        <w:tc>
          <w:tcPr>
            <w:tcW w:w="121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3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3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OTHER INTANGIBLE ASSETS</w:t>
            </w:r>
          </w:p>
        </w:tc>
        <w:tc>
          <w:tcPr>
            <w:tcW w:w="25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4,050.9</w:t>
            </w:r>
            <w:r>
              <w:rPr>
                <w:color w:val="000000"/>
              </w:rPr>
              <w:t> </w:t>
            </w:r>
          </w:p>
        </w:tc>
        <w:tc>
          <w:tcPr>
            <w:tcW w:w="13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(861.0)</w:t>
            </w:r>
          </w:p>
        </w:tc>
        <w:tc>
          <w:tcPr>
            <w:tcW w:w="14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8"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2,196.0</w:t>
            </w:r>
            <w:r>
              <w:rPr>
                <w:color w:val="000000"/>
              </w:rPr>
              <w:t> </w:t>
            </w:r>
          </w:p>
        </w:tc>
        <w:tc>
          <w:tcPr>
            <w:tcW w:w="133"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7"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(801.7)</w:t>
            </w:r>
          </w:p>
        </w:tc>
        <w:tc>
          <w:tcPr>
            <w:tcW w:w="20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Amortization expense associated with definite-lived intangible assets was $32.3 million and $24.8 million during the three months ended June 30, 2026 and 2025, respectively, and $60.2 million and $49.3 million during the six months ended June 30, 2026 and 2025, respectively. Future amortization expense associated with these intangible assets is estimated to be $83.8 million for the remainder of 2026, $172.1 million in 2027, $172.8 million in 2028, $173.1 million in 2029, $169.9 million in 2030, and $166.1 million in 2031. The Company amortizes intangible assets with definite lives using either an accelerated method that reflects the pattern in which economic benefits of the intangible assets are consumed and results in higher amortization in the earlier years of the assets' useful lives, or using a straight line method. Approximately 94% of the gross value of definite-lived intangible assets follows an accelerated amortization method.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The Company completed its annual goodwill impairment test as of April 1, 2026. For each of the Company's reporting units, the Company elected to utilize the quantitative goodwill impairment testing process, as permitted by the accounting guidance, by comparing the estimated fair value of the reporting units to their carrying values. If the estimated fair value exceeds its carrying value, no impairment exists.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Goodwill impairment testing requires judgment, including the identification of reporting units, assigning assets and liabilities to reporting units and determining the fair value of each reporting unit. Significant judgment is required to estimate the fair value of reporting units, including estimating future cash flows, determining appropriate discount rates and other assumptions, including assumptions about secular economic and market conditions. The Company uses internal discounted cash flow models to estimate fair value. These cash flow estimates are derived from historical experience, third party end market data, and future long-term business plans and include assumptions of future sales growth, gross margin, operating margin, terminal growth rate, and the application of an appropriate discount rate. Significant changes in these estimates and assumptions could materially affect the determination of fair value and/or goodwill impairment for each reporting unit. The Company believes that its estimated aggregate fair value of its reporting units is reasonable when compared to the Company's market capitalization on the valuation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As of April 1, 2026, the impairment testing resulted in implied fair values for each reporting unit that significantly exceeded such reporting unit's carrying value, including goodwill. The Company did not have any reporting units with zero or negative carrying amounts.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18</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completed its annual impairment test of indefinite-lived intangible assets as of April 1, 2026. For the 2026 test, the Company elected to utilize the quantitative impairment testing process as permitted in the accounting guidance, by comparing the estimated fair value of the indefinite-lived intangible assets to their carrying values. If the estimated fair value of the indefinite-lived intangible assets exceeds their carrying value, no impairment exists. The estimated fair value was determined utilizing an income approach (relief from royalty method). Significant judgment is required to estimate the fair value of the indefinite-lived intangible assets, including assumptions for future revenues, discount rates, royalty rates, and other assumptions, including assumptions about secular economic and market conditions. Significant changes in these estimates and assumptions could affect the determination of fair value and/or impairment for each indefinite-lived intangible asset. As of April 1, 2026, the impairment testing resulted in estimated fair values for each indefinite-lived intangible asset that significantly exceeded the carrying values and there were no indefinite-lived intangible assets at risk of failing the quantitative impairment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19</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7</w:t>
      </w:r>
      <w:r>
        <w:rPr>
          <w:color w:val="000000"/>
        </w:rPr>
        <w:t xml:space="preserve"> </w:t>
      </w:r>
      <w:r>
        <w:rPr>
          <w:rFonts w:ascii="Arial;sans-serif" w:hAnsi="Arial;sans-serif"/>
          <w:b/>
          <w:color w:val="000000"/>
          <w:sz w:val="28"/>
        </w:rPr>
        <w:t>Other Accrued Liabilities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Other accrued liabilities consists of the following (in millions):</w:t>
      </w:r>
    </w:p>
    <w:tbl>
      <w:tblPr>
        <w:tblW w:w="6239" w:type="dxa"/>
        <w:jc w:val="left"/>
        <w:tblInd w:w="0" w:type="dxa"/>
        <w:tblLayout w:type="fixed"/>
        <w:tblCellMar>
          <w:top w:w="28" w:type="dxa"/>
          <w:left w:w="28" w:type="dxa"/>
          <w:bottom w:w="28" w:type="dxa"/>
          <w:right w:w="28" w:type="dxa"/>
        </w:tblCellMar>
      </w:tblPr>
      <w:tblGrid>
        <w:gridCol w:w="1133"/>
        <w:gridCol w:w="998"/>
        <w:gridCol w:w="1004"/>
        <w:gridCol w:w="286"/>
        <w:gridCol w:w="856"/>
        <w:gridCol w:w="147"/>
        <w:gridCol w:w="383"/>
        <w:gridCol w:w="1149"/>
        <w:gridCol w:w="283"/>
      </w:tblGrid>
      <w:tr>
        <w:trPr/>
        <w:tc>
          <w:tcPr>
            <w:tcW w:w="11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31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program incentives</w:t>
            </w:r>
          </w:p>
        </w:tc>
        <w:tc>
          <w:tcPr>
            <w:tcW w:w="28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47"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283"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income taxes</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 deferred revenue</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145.3 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28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Customer refund liability </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Accrued warranties short-term</w:t>
            </w:r>
            <w:r>
              <w:rPr>
                <w:rFonts w:ascii="Arial;sans-serif" w:hAnsi="Arial;sans-serif"/>
                <w:b w:val="false"/>
                <w:color w:val="000000"/>
                <w:sz w:val="12"/>
              </w:rPr>
              <w:t>(1)</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8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operating lease liabilities</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28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8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449.3</w:t>
            </w:r>
            <w:r>
              <w:rPr>
                <w:color w:val="000000"/>
              </w:rPr>
              <w:t> </w:t>
            </w:r>
          </w:p>
        </w:tc>
        <w:tc>
          <w:tcPr>
            <w:tcW w:w="14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9"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450.7</w:t>
            </w:r>
            <w:r>
              <w:rPr>
                <w:color w:val="000000"/>
              </w:rPr>
              <w:t> </w:t>
            </w:r>
          </w:p>
        </w:tc>
        <w:tc>
          <w:tcPr>
            <w:tcW w:w="283"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Refer to Note 21 - Guarantees, in the Notes to the Consolidated Financial Statements in our Annual Report on Form 10-K for the year ended December 31, 2025 for additional information regarding warranties.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3768"/>
          <w:sz w:val="28"/>
        </w:rPr>
        <w:t>NOTE 8</w:t>
      </w:r>
      <w:r>
        <w:rPr>
          <w:color w:val="000000"/>
        </w:rPr>
        <w:t xml:space="preserve"> </w:t>
      </w:r>
      <w:r>
        <w:rPr>
          <w:rFonts w:ascii="Arial;sans-serif" w:hAnsi="Arial;sans-serif"/>
          <w:b/>
          <w:color w:val="000000"/>
          <w:sz w:val="28"/>
        </w:rPr>
        <w:t>Other Non-Current Liabilities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non-current liabilities consists of the following (in millions):</w:t>
      </w:r>
    </w:p>
    <w:tbl>
      <w:tblPr>
        <w:tblW w:w="6284" w:type="dxa"/>
        <w:jc w:val="left"/>
        <w:tblInd w:w="0" w:type="dxa"/>
        <w:tblLayout w:type="fixed"/>
        <w:tblCellMar>
          <w:top w:w="28" w:type="dxa"/>
          <w:left w:w="28" w:type="dxa"/>
          <w:bottom w:w="28" w:type="dxa"/>
          <w:right w:w="28" w:type="dxa"/>
        </w:tblCellMar>
      </w:tblPr>
      <w:tblGrid>
        <w:gridCol w:w="1151"/>
        <w:gridCol w:w="1013"/>
        <w:gridCol w:w="1016"/>
        <w:gridCol w:w="286"/>
        <w:gridCol w:w="856"/>
        <w:gridCol w:w="147"/>
        <w:gridCol w:w="383"/>
        <w:gridCol w:w="1149"/>
        <w:gridCol w:w="283"/>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318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Pensions</w:t>
            </w:r>
          </w:p>
        </w:tc>
        <w:tc>
          <w:tcPr>
            <w:tcW w:w="28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47"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283"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post-retirement benefits</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Accrued warranties long-term</w:t>
            </w:r>
            <w:r>
              <w:rPr>
                <w:rFonts w:ascii="Arial;sans-serif" w:hAnsi="Arial;sans-serif"/>
                <w:b w:val="false"/>
                <w:color w:val="000000"/>
                <w:sz w:val="12"/>
              </w:rPr>
              <w:t>(1)</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8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operating lease liabilities</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4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4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28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8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432.8</w:t>
            </w:r>
            <w:r>
              <w:rPr>
                <w:color w:val="000000"/>
              </w:rPr>
              <w:t> </w:t>
            </w:r>
          </w:p>
        </w:tc>
        <w:tc>
          <w:tcPr>
            <w:tcW w:w="14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405.8</w:t>
            </w:r>
            <w:r>
              <w:rPr>
                <w:color w:val="000000"/>
              </w:rPr>
              <w:t> </w:t>
            </w:r>
          </w:p>
        </w:tc>
        <w:tc>
          <w:tcPr>
            <w:tcW w:w="28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Refer to Note 21 - Guarantees, in the Notes to the Consolidated Financial Statements in our Annual Report on Form 10-K for the year ended December 31, 2025 for additional information regarding warranties.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20</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9</w:t>
      </w:r>
      <w:r>
        <w:rPr>
          <w:color w:val="000000"/>
        </w:rPr>
        <w:t xml:space="preserve"> </w:t>
      </w:r>
      <w:r>
        <w:rPr>
          <w:rFonts w:ascii="Arial;sans-serif" w:hAnsi="Arial;sans-serif"/>
          <w:b/>
          <w:color w:val="000000"/>
          <w:sz w:val="28"/>
        </w:rPr>
        <w:t>Total Equity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summary of changes in total equity for the three and six months ended June 30, 2026 and the three and six months ended June 30, 2025 is provided below (in millions, except per share amounts):</w:t>
      </w:r>
    </w:p>
    <w:tbl>
      <w:tblPr>
        <w:tblW w:w="10089" w:type="dxa"/>
        <w:jc w:val="center"/>
        <w:tblInd w:w="0" w:type="dxa"/>
        <w:tblLayout w:type="fixed"/>
        <w:tblCellMar>
          <w:top w:w="28" w:type="dxa"/>
          <w:left w:w="28" w:type="dxa"/>
          <w:bottom w:w="28" w:type="dxa"/>
          <w:right w:w="28" w:type="dxa"/>
        </w:tblCellMar>
      </w:tblPr>
      <w:tblGrid>
        <w:gridCol w:w="1174"/>
        <w:gridCol w:w="1030"/>
        <w:gridCol w:w="1036"/>
        <w:gridCol w:w="374"/>
        <w:gridCol w:w="749"/>
        <w:gridCol w:w="211"/>
        <w:gridCol w:w="256"/>
        <w:gridCol w:w="531"/>
        <w:gridCol w:w="144"/>
        <w:gridCol w:w="196"/>
        <w:gridCol w:w="706"/>
        <w:gridCol w:w="109"/>
        <w:gridCol w:w="302"/>
        <w:gridCol w:w="880"/>
        <w:gridCol w:w="169"/>
        <w:gridCol w:w="232"/>
        <w:gridCol w:w="838"/>
        <w:gridCol w:w="131"/>
        <w:gridCol w:w="240"/>
        <w:gridCol w:w="590"/>
        <w:gridCol w:w="191"/>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Hubbell</w:t>
              <w:br/>
              <w:t>Shareholders'</w:t>
              <w:br/>
              <w:t>Equity</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w:t>
              <w:br/>
              <w:t>controlling</w:t>
              <w:br/>
              <w:t>interest</w:t>
            </w:r>
          </w:p>
        </w:tc>
      </w:tr>
      <w:tr>
        <w:trPr/>
        <w:tc>
          <w:tcPr>
            <w:tcW w:w="3240"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BALANCE AT </w:t>
              <w:br/>
              <w:t>DECEMBER 31, 2025</w:t>
            </w:r>
          </w:p>
        </w:tc>
        <w:tc>
          <w:tcPr>
            <w:tcW w:w="37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4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4,155.7</w:t>
            </w:r>
            <w:r>
              <w:rPr>
                <w:color w:val="000000"/>
              </w:rPr>
              <w:t>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(314.8)</w:t>
            </w:r>
          </w:p>
        </w:tc>
        <w:tc>
          <w:tcPr>
            <w:tcW w:w="16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3,847.9</w:t>
            </w:r>
            <w:r>
              <w:rPr>
                <w:color w:val="000000"/>
              </w:rPr>
              <w:t> </w:t>
            </w:r>
          </w:p>
        </w:tc>
        <w:tc>
          <w:tcPr>
            <w:tcW w:w="13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9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123"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181.8 </w:t>
            </w:r>
          </w:p>
        </w:tc>
        <w:tc>
          <w:tcPr>
            <w:tcW w:w="13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9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Acquisition/surrender of common shares</w:t>
            </w:r>
            <w:r>
              <w:rPr>
                <w:rFonts w:ascii="Arial;sans-serif" w:hAnsi="Arial;sans-serif"/>
                <w:b w:val="false"/>
                <w:color w:val="000000"/>
                <w:sz w:val="10"/>
              </w:rPr>
              <w:t>(1)</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declared ($1.42 per share)</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to noncontrolling interest</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Directors deferred compensation</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BALANCE AT </w:t>
              <w:br/>
              <w:t>MARCH 31, 2026</w:t>
            </w:r>
          </w:p>
        </w:tc>
        <w:tc>
          <w:tcPr>
            <w:tcW w:w="37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4,082.2</w:t>
            </w:r>
            <w:r>
              <w:rPr>
                <w:color w:val="000000"/>
              </w:rPr>
              <w:t>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(314.2)</w:t>
            </w:r>
          </w:p>
        </w:tc>
        <w:tc>
          <w:tcPr>
            <w:tcW w:w="16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3,768.6</w:t>
            </w:r>
            <w:r>
              <w:rPr>
                <w:color w:val="000000"/>
              </w:rPr>
              <w:t> </w:t>
            </w:r>
          </w:p>
        </w:tc>
        <w:tc>
          <w:tcPr>
            <w:tcW w:w="13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19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123"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240.4 </w:t>
            </w:r>
          </w:p>
        </w:tc>
        <w:tc>
          <w:tcPr>
            <w:tcW w:w="13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9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Acquisition/surrender of common shares</w:t>
            </w:r>
            <w:r>
              <w:rPr>
                <w:rFonts w:ascii="Arial;sans-serif" w:hAnsi="Arial;sans-serif"/>
                <w:b w:val="false"/>
                <w:color w:val="000000"/>
                <w:sz w:val="10"/>
              </w:rPr>
              <w:t>(1)</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declared ($1.42 per share)</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to noncontrolling interest</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Directors deferred compensation</w:t>
            </w:r>
          </w:p>
        </w:tc>
        <w:tc>
          <w:tcPr>
            <w:tcW w:w="112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4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3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BALANCE AT </w:t>
              <w:br/>
              <w:t>JUNE 30, 2026</w:t>
            </w:r>
          </w:p>
        </w:tc>
        <w:tc>
          <w:tcPr>
            <w:tcW w:w="37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21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4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4,217.8</w:t>
            </w:r>
            <w:r>
              <w:rPr>
                <w:color w:val="000000"/>
              </w:rPr>
              <w:t> </w:t>
            </w:r>
          </w:p>
        </w:tc>
        <w:tc>
          <w:tcPr>
            <w:tcW w:w="10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(309.2)</w:t>
            </w:r>
          </w:p>
        </w:tc>
        <w:tc>
          <w:tcPr>
            <w:tcW w:w="16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3,911.9</w:t>
            </w:r>
            <w:r>
              <w:rPr>
                <w:color w:val="000000"/>
              </w:rPr>
              <w:t> </w:t>
            </w:r>
          </w:p>
        </w:tc>
        <w:tc>
          <w:tcPr>
            <w:tcW w:w="13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19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21</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tbl>
      <w:tblPr>
        <w:tblW w:w="10089" w:type="dxa"/>
        <w:jc w:val="center"/>
        <w:tblInd w:w="0" w:type="dxa"/>
        <w:tblLayout w:type="fixed"/>
        <w:tblCellMar>
          <w:top w:w="28" w:type="dxa"/>
          <w:left w:w="28" w:type="dxa"/>
          <w:bottom w:w="28" w:type="dxa"/>
          <w:right w:w="28" w:type="dxa"/>
        </w:tblCellMar>
      </w:tblPr>
      <w:tblGrid>
        <w:gridCol w:w="1174"/>
        <w:gridCol w:w="1030"/>
        <w:gridCol w:w="1036"/>
        <w:gridCol w:w="374"/>
        <w:gridCol w:w="749"/>
        <w:gridCol w:w="211"/>
        <w:gridCol w:w="256"/>
        <w:gridCol w:w="531"/>
        <w:gridCol w:w="144"/>
        <w:gridCol w:w="196"/>
        <w:gridCol w:w="706"/>
        <w:gridCol w:w="109"/>
        <w:gridCol w:w="302"/>
        <w:gridCol w:w="880"/>
        <w:gridCol w:w="169"/>
        <w:gridCol w:w="232"/>
        <w:gridCol w:w="838"/>
        <w:gridCol w:w="131"/>
        <w:gridCol w:w="240"/>
        <w:gridCol w:w="590"/>
        <w:gridCol w:w="191"/>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Hubbell</w:t>
              <w:br/>
              <w:t>Shareholders'</w:t>
              <w:br/>
              <w:t>Equity</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w:t>
              <w:br/>
              <w:t>controlling</w:t>
              <w:br/>
              <w:t>interest</w:t>
            </w:r>
          </w:p>
        </w:tc>
      </w:tr>
      <w:tr>
        <w:trPr/>
        <w:tc>
          <w:tcPr>
            <w:tcW w:w="32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BALANCE AT </w:t>
              <w:br/>
              <w:t>DECEMBER 31, 2024</w:t>
            </w:r>
          </w:p>
        </w:tc>
        <w:tc>
          <w:tcPr>
            <w:tcW w:w="3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4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3,779.5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(386.5)</w:t>
            </w:r>
          </w:p>
        </w:tc>
        <w:tc>
          <w:tcPr>
            <w:tcW w:w="16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3,396.2</w:t>
            </w:r>
            <w:r>
              <w:rPr>
                <w:color w:val="000000"/>
              </w:rPr>
              <w:t> </w:t>
            </w:r>
          </w:p>
        </w:tc>
        <w:tc>
          <w:tcPr>
            <w:tcW w:w="1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123"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163.2 </w:t>
            </w:r>
          </w:p>
        </w:tc>
        <w:tc>
          <w:tcPr>
            <w:tcW w:w="13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9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123"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6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3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123"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44"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3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Acquisition/surrender of common shares</w:t>
            </w:r>
            <w:r>
              <w:rPr>
                <w:rFonts w:ascii="Arial;sans-serif" w:hAnsi="Arial;sans-serif"/>
                <w:b w:val="false"/>
                <w:color w:val="000000"/>
                <w:sz w:val="10"/>
              </w:rPr>
              <w:t>(1)</w:t>
            </w:r>
          </w:p>
        </w:tc>
        <w:tc>
          <w:tcPr>
            <w:tcW w:w="1123"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44"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w:t>
            </w:r>
          </w:p>
        </w:tc>
        <w:tc>
          <w:tcPr>
            <w:tcW w:w="109"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w:t>
            </w:r>
          </w:p>
        </w:tc>
        <w:tc>
          <w:tcPr>
            <w:tcW w:w="131"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declared ($1.32 per share)</w:t>
            </w:r>
          </w:p>
        </w:tc>
        <w:tc>
          <w:tcPr>
            <w:tcW w:w="1123"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w:t>
            </w:r>
          </w:p>
        </w:tc>
        <w:tc>
          <w:tcPr>
            <w:tcW w:w="10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w:t>
            </w:r>
          </w:p>
        </w:tc>
        <w:tc>
          <w:tcPr>
            <w:tcW w:w="13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to noncontrolling interest</w:t>
            </w:r>
          </w:p>
        </w:tc>
        <w:tc>
          <w:tcPr>
            <w:tcW w:w="1123"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9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Directors deferred compensation</w:t>
            </w:r>
          </w:p>
        </w:tc>
        <w:tc>
          <w:tcPr>
            <w:tcW w:w="1123"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44"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3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BALANCE AT </w:t>
              <w:br/>
              <w:t>MARCH 31, 2025</w:t>
            </w:r>
          </w:p>
        </w:tc>
        <w:tc>
          <w:tcPr>
            <w:tcW w:w="3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3,749.2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(367.0)</w:t>
            </w:r>
          </w:p>
        </w:tc>
        <w:tc>
          <w:tcPr>
            <w:tcW w:w="16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3,382.8</w:t>
            </w:r>
            <w:r>
              <w:rPr>
                <w:color w:val="000000"/>
              </w:rPr>
              <w:t> </w:t>
            </w:r>
          </w:p>
        </w:tc>
        <w:tc>
          <w:tcPr>
            <w:tcW w:w="1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123"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3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9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123"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6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3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123"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44"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3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Acquisition/surrender of common shares</w:t>
            </w:r>
            <w:r>
              <w:rPr>
                <w:rFonts w:ascii="Arial;sans-serif" w:hAnsi="Arial;sans-serif"/>
                <w:b w:val="false"/>
                <w:color w:val="000000"/>
                <w:sz w:val="10"/>
              </w:rPr>
              <w:t>(1)</w:t>
            </w:r>
          </w:p>
        </w:tc>
        <w:tc>
          <w:tcPr>
            <w:tcW w:w="1123"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44"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w:t>
            </w:r>
          </w:p>
        </w:tc>
        <w:tc>
          <w:tcPr>
            <w:tcW w:w="10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13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declared ($1.32 per share)</w:t>
            </w:r>
          </w:p>
        </w:tc>
        <w:tc>
          <w:tcPr>
            <w:tcW w:w="1123"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10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13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to noncontrolling interest</w:t>
            </w:r>
          </w:p>
        </w:tc>
        <w:tc>
          <w:tcPr>
            <w:tcW w:w="1123"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91"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Directors deferred compensation</w:t>
            </w:r>
          </w:p>
        </w:tc>
        <w:tc>
          <w:tcPr>
            <w:tcW w:w="1123"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44"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3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FFFFFF"/>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FFFFFF"/>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BALANCE AT </w:t>
              <w:br/>
              <w:t>JUNE 30, 2025</w:t>
            </w:r>
          </w:p>
        </w:tc>
        <w:tc>
          <w:tcPr>
            <w:tcW w:w="37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3,821.8</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(334.7)</w:t>
            </w:r>
          </w:p>
        </w:tc>
        <w:tc>
          <w:tcPr>
            <w:tcW w:w="16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3,487.7</w:t>
            </w:r>
            <w:r>
              <w:rPr>
                <w:color w:val="000000"/>
              </w:rPr>
              <w:t> </w:t>
            </w:r>
          </w:p>
        </w:tc>
        <w:tc>
          <w:tcPr>
            <w:tcW w:w="13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19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 xml:space="preserve">For accounting purposes, the Company treats repurchased shares as constructively retired when acquired and accordingly charges the purchase price against common stock par value, Additional paid-in capital, to the extent available, and Retained earnings. The change in Retained earnings of $209.4 million and $223.9 million in the first six months of 2026 and 2025, respectively, reflects this accounting treatment.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detailed components of total comprehensive income are presented in the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22</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768"/>
          <w:sz w:val="28"/>
        </w:rPr>
        <w:t>NOTE 10</w:t>
      </w:r>
      <w:r>
        <w:rPr>
          <w:color w:val="000000"/>
        </w:rPr>
        <w:t xml:space="preserve"> </w:t>
      </w:r>
      <w:r>
        <w:rPr>
          <w:rFonts w:ascii="Arial;sans-serif" w:hAnsi="Arial;sans-serif"/>
          <w:b/>
          <w:color w:val="000000"/>
          <w:sz w:val="28"/>
        </w:rPr>
        <w:t>Accumulated Other Comprehensive Loss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summary of the changes in Accumulated other comprehensive loss (net of tax) for the six months ended June 30, 2026 is provided below (in millions):</w:t>
      </w:r>
    </w:p>
    <w:tbl>
      <w:tblPr>
        <w:tblW w:w="10205" w:type="dxa"/>
        <w:jc w:val="left"/>
        <w:tblInd w:w="0" w:type="dxa"/>
        <w:tblLayout w:type="fixed"/>
        <w:tblCellMar>
          <w:top w:w="28" w:type="dxa"/>
          <w:left w:w="28" w:type="dxa"/>
          <w:bottom w:w="28" w:type="dxa"/>
          <w:right w:w="28" w:type="dxa"/>
        </w:tblCellMar>
      </w:tblPr>
      <w:tblGrid>
        <w:gridCol w:w="1669"/>
        <w:gridCol w:w="1382"/>
        <w:gridCol w:w="1385"/>
        <w:gridCol w:w="336"/>
        <w:gridCol w:w="744"/>
        <w:gridCol w:w="173"/>
        <w:gridCol w:w="373"/>
        <w:gridCol w:w="746"/>
        <w:gridCol w:w="193"/>
        <w:gridCol w:w="239"/>
        <w:gridCol w:w="718"/>
        <w:gridCol w:w="124"/>
        <w:gridCol w:w="239"/>
        <w:gridCol w:w="717"/>
        <w:gridCol w:w="125"/>
        <w:gridCol w:w="211"/>
        <w:gridCol w:w="668"/>
        <w:gridCol w:w="163"/>
      </w:tblGrid>
      <w:tr>
        <w:trPr/>
        <w:tc>
          <w:tcPr>
            <w:tcW w:w="166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(debit) credit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Cash flow</w:t>
              <w:br/>
              <w:t>hedge gain (loss)</w:t>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w:t>
              <w:br/>
              <w:t>gain (loss) on</w:t>
              <w:br/>
              <w:t>available-for-</w:t>
              <w:br/>
              <w:t>sale securities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w:t>
              <w:br/>
              <w:t>and post</w:t>
              <w:br/>
              <w:t>retirement</w:t>
              <w:br/>
              <w:t>benefit plan</w:t>
              <w:br/>
              <w:t>adjustment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Cumulative</w:t>
              <w:br/>
              <w:t>translation</w:t>
              <w:br/>
              <w:t>adjustment</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436"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2025</w:t>
            </w:r>
          </w:p>
        </w:tc>
        <w:tc>
          <w:tcPr>
            <w:tcW w:w="33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(0.3)</w:t>
            </w:r>
          </w:p>
        </w:tc>
        <w:tc>
          <w:tcPr>
            <w:tcW w:w="17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w:t>
            </w:r>
            <w:r>
              <w:rPr>
                <w:color w:val="000000"/>
              </w:rPr>
              <w:t> </w:t>
            </w:r>
          </w:p>
        </w:tc>
        <w:tc>
          <w:tcPr>
            <w:tcW w:w="19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(169.8)</w:t>
            </w:r>
          </w:p>
        </w:tc>
        <w:tc>
          <w:tcPr>
            <w:tcW w:w="12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(145.1)</w:t>
            </w:r>
          </w:p>
        </w:tc>
        <w:tc>
          <w:tcPr>
            <w:tcW w:w="125"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(314.8)</w:t>
            </w:r>
          </w:p>
        </w:tc>
        <w:tc>
          <w:tcPr>
            <w:tcW w:w="16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108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9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25"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income (loss)</w:t>
            </w:r>
          </w:p>
        </w:tc>
        <w:tc>
          <w:tcPr>
            <w:tcW w:w="108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2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6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top w:val="single" w:sz="4"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period other comprehensive income (loss)</w:t>
            </w:r>
          </w:p>
        </w:tc>
        <w:tc>
          <w:tcPr>
            <w:tcW w:w="1080"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w:t>
            </w:r>
            <w:r>
              <w:rPr>
                <w:color w:val="000000"/>
              </w:rPr>
              <w:t> </w:t>
            </w:r>
          </w:p>
        </w:tc>
        <w:tc>
          <w:tcPr>
            <w:tcW w:w="17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(0.2)</w:t>
            </w:r>
          </w:p>
        </w:tc>
        <w:tc>
          <w:tcPr>
            <w:tcW w:w="19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w:t>
            </w:r>
            <w:r>
              <w:rPr>
                <w:color w:val="000000"/>
              </w:rPr>
              <w:t> </w:t>
            </w:r>
          </w:p>
        </w:tc>
        <w:tc>
          <w:tcPr>
            <w:tcW w:w="12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125"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w:t>
            </w:r>
            <w:r>
              <w:rPr>
                <w:color w:val="000000"/>
              </w:rPr>
              <w:t> </w:t>
            </w:r>
          </w:p>
        </w:tc>
        <w:tc>
          <w:tcPr>
            <w:tcW w:w="16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33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17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w:t>
            </w:r>
            <w:r>
              <w:rPr>
                <w:color w:val="000000"/>
              </w:rPr>
              <w:t> </w:t>
            </w:r>
          </w:p>
        </w:tc>
        <w:tc>
          <w:tcPr>
            <w:tcW w:w="19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(166.5)</w:t>
            </w:r>
          </w:p>
        </w:tc>
        <w:tc>
          <w:tcPr>
            <w:tcW w:w="12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(142.8)</w:t>
            </w:r>
          </w:p>
        </w:tc>
        <w:tc>
          <w:tcPr>
            <w:tcW w:w="125"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(309.2)</w:t>
            </w:r>
          </w:p>
        </w:tc>
        <w:tc>
          <w:tcPr>
            <w:tcW w:w="16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bookmarkStart w:id="1" w:name="ic1823bb66b3c448ab6b7642f5483c112_639"/>
      <w:bookmarkEnd w:id="1"/>
      <w:r>
        <w:rPr>
          <w:rFonts w:ascii="Arial;sans-serif" w:hAnsi="Arial;sans-serif"/>
          <w:b w:val="false"/>
          <w:color w:val="000000"/>
          <w:sz w:val="18"/>
        </w:rPr>
        <w:t>A summary of the gain (loss) reclassifications out of Accumulated other comprehensive loss for the three and six months ended June 30, 2026 and 2025 is provided below (in millions): </w:t>
      </w:r>
    </w:p>
    <w:tbl>
      <w:tblPr>
        <w:tblW w:w="10205" w:type="dxa"/>
        <w:jc w:val="left"/>
        <w:tblInd w:w="0" w:type="dxa"/>
        <w:tblLayout w:type="fixed"/>
        <w:tblCellMar>
          <w:top w:w="28" w:type="dxa"/>
          <w:left w:w="28" w:type="dxa"/>
          <w:bottom w:w="28" w:type="dxa"/>
          <w:right w:w="28" w:type="dxa"/>
        </w:tblCellMar>
      </w:tblPr>
      <w:tblGrid>
        <w:gridCol w:w="1319"/>
        <w:gridCol w:w="1159"/>
        <w:gridCol w:w="1164"/>
        <w:gridCol w:w="264"/>
        <w:gridCol w:w="584"/>
        <w:gridCol w:w="146"/>
        <w:gridCol w:w="264"/>
        <w:gridCol w:w="584"/>
        <w:gridCol w:w="146"/>
        <w:gridCol w:w="109"/>
        <w:gridCol w:w="109"/>
        <w:gridCol w:w="109"/>
        <w:gridCol w:w="250"/>
        <w:gridCol w:w="552"/>
        <w:gridCol w:w="139"/>
        <w:gridCol w:w="250"/>
        <w:gridCol w:w="552"/>
        <w:gridCol w:w="139"/>
        <w:gridCol w:w="689"/>
        <w:gridCol w:w="689"/>
        <w:gridCol w:w="988"/>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Details about Accumulated Other</w:t>
              <w:br/>
              <w:t>Comprehensive Loss Components</w:t>
            </w:r>
          </w:p>
        </w:tc>
        <w:tc>
          <w:tcPr>
            <w:tcW w:w="99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99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9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23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 of Gain (Loss) Reclassified into Income</w:t>
            </w:r>
          </w:p>
        </w:tc>
      </w:tr>
      <w:tr>
        <w:trPr/>
        <w:tc>
          <w:tcPr>
            <w:tcW w:w="3642"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hedges gain (loss):</w:t>
            </w:r>
          </w:p>
        </w:tc>
        <w:tc>
          <w:tcPr>
            <w:tcW w:w="994"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6"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Forward exchange contracts</w:t>
            </w:r>
          </w:p>
        </w:tc>
        <w:tc>
          <w:tcPr>
            <w:tcW w:w="264"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r>
      <w:tr>
        <w:trPr/>
        <w:tc>
          <w:tcPr>
            <w:tcW w:w="3642"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3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r>
      <w:tr>
        <w:trPr/>
        <w:tc>
          <w:tcPr>
            <w:tcW w:w="364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8"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4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3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before tax</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benefit (expense)</w:t>
            </w:r>
          </w:p>
        </w:tc>
      </w:tr>
      <w:tr>
        <w:trPr/>
        <w:tc>
          <w:tcPr>
            <w:tcW w:w="364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4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3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net of tax</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Amortization of defined benefit pension and post retirement benefit items:</w:t>
            </w:r>
          </w:p>
        </w:tc>
        <w:tc>
          <w:tcPr>
            <w:tcW w:w="994"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4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Prior-service costs (a)</w:t>
            </w:r>
          </w:p>
        </w:tc>
        <w:tc>
          <w:tcPr>
            <w:tcW w:w="264"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4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gains (losses) (a)</w:t>
            </w:r>
          </w:p>
        </w:tc>
        <w:tc>
          <w:tcPr>
            <w:tcW w:w="84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4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46"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39"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8"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4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4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3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before tax</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4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46" w:type="dxa"/>
            <w:tcBorders>
              <w:top w:val="single" w:sz="8"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benefit (expense)</w:t>
            </w:r>
          </w:p>
        </w:tc>
      </w:tr>
      <w:tr>
        <w:trPr/>
        <w:tc>
          <w:tcPr>
            <w:tcW w:w="364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4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4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3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net of tax</w:t>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(losses) reclassified into earnings</w:t>
            </w:r>
          </w:p>
        </w:tc>
        <w:tc>
          <w:tcPr>
            <w:tcW w:w="26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4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46"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E7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3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2"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3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net of tax</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(a) These accumulated other comprehensive loss components are included in the computation of net periodic pension cost (see Note 12 - Pension and Other Benefits in the Notes to Condensed Consolidated Financial Statements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23</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11</w:t>
      </w:r>
      <w:r>
        <w:rPr>
          <w:color w:val="000000"/>
        </w:rPr>
        <w:t xml:space="preserve"> </w:t>
      </w:r>
      <w:r>
        <w:rPr>
          <w:rFonts w:ascii="Arial;sans-serif" w:hAnsi="Arial;sans-serif"/>
          <w:b/>
          <w:color w:val="000000"/>
          <w:sz w:val="28"/>
        </w:rPr>
        <w:t>Earnings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computes earnings per share using the two-class method, which is an earnings allocation formula that determines earnings per share for common stock and participating securities. Service-based and performance-based restricted stock awards granted by the Company are considered participating securities, as these awards contain a non-forfeitable right to dividends.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sets forth the computation of earnings per share for the three and six months ended June 30, 2026 and 2025 (in millions, except per share amounts):</w:t>
      </w:r>
    </w:p>
    <w:tbl>
      <w:tblPr>
        <w:tblW w:w="9264" w:type="dxa"/>
        <w:jc w:val="left"/>
        <w:tblInd w:w="0" w:type="dxa"/>
        <w:tblLayout w:type="fixed"/>
        <w:tblCellMar>
          <w:top w:w="28" w:type="dxa"/>
          <w:left w:w="28" w:type="dxa"/>
          <w:bottom w:w="28" w:type="dxa"/>
          <w:right w:w="28" w:type="dxa"/>
        </w:tblCellMar>
      </w:tblPr>
      <w:tblGrid>
        <w:gridCol w:w="1522"/>
        <w:gridCol w:w="1333"/>
        <w:gridCol w:w="1344"/>
        <w:gridCol w:w="295"/>
        <w:gridCol w:w="864"/>
        <w:gridCol w:w="152"/>
        <w:gridCol w:w="295"/>
        <w:gridCol w:w="864"/>
        <w:gridCol w:w="152"/>
        <w:gridCol w:w="269"/>
        <w:gridCol w:w="785"/>
        <w:gridCol w:w="139"/>
        <w:gridCol w:w="269"/>
        <w:gridCol w:w="785"/>
        <w:gridCol w:w="196"/>
      </w:tblGrid>
      <w:tr>
        <w:trPr/>
        <w:tc>
          <w:tcPr>
            <w:tcW w:w="152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19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419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311"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3"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Hubbell Incorporated</w:t>
            </w:r>
          </w:p>
        </w:tc>
        <w:tc>
          <w:tcPr>
            <w:tcW w:w="295"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240.4 </w:t>
            </w:r>
          </w:p>
        </w:tc>
        <w:tc>
          <w:tcPr>
            <w:tcW w:w="15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Earnings allocated to participating securities</w:t>
            </w:r>
          </w:p>
        </w:tc>
        <w:tc>
          <w:tcPr>
            <w:tcW w:w="1311"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15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available to common shareholders</w:t>
            </w:r>
          </w:p>
        </w:tc>
        <w:tc>
          <w:tcPr>
            <w:tcW w:w="29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240.1 </w:t>
            </w:r>
          </w:p>
        </w:tc>
        <w:tc>
          <w:tcPr>
            <w:tcW w:w="152"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243.8 </w:t>
            </w:r>
          </w:p>
        </w:tc>
        <w:tc>
          <w:tcPr>
            <w:tcW w:w="152"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421.7 </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406.7 </w:t>
            </w:r>
          </w:p>
        </w:tc>
        <w:tc>
          <w:tcPr>
            <w:tcW w:w="19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311"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3"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number of common shares outstanding</w:t>
            </w:r>
          </w:p>
        </w:tc>
        <w:tc>
          <w:tcPr>
            <w:tcW w:w="115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5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5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9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Potential dilutive common shares</w:t>
            </w:r>
          </w:p>
        </w:tc>
        <w:tc>
          <w:tcPr>
            <w:tcW w:w="115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number of diluted shares outstanding</w:t>
            </w:r>
          </w:p>
        </w:tc>
        <w:tc>
          <w:tcPr>
            <w:tcW w:w="1159"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52"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52"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3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19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w:t>
            </w:r>
          </w:p>
        </w:tc>
        <w:tc>
          <w:tcPr>
            <w:tcW w:w="1311" w:type="dxa"/>
            <w:gridSpan w:val="3"/>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3"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295"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5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3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share </w:t>
            </w:r>
          </w:p>
        </w:tc>
        <w:tc>
          <w:tcPr>
            <w:tcW w:w="295"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52"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52" w:type="dxa"/>
            <w:tcBorders>
              <w:bottom w:val="single" w:sz="4" w:space="0" w:color="000000"/>
            </w:tcBorders>
            <w:shd w:fill="E7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139"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96" w:type="dxa"/>
            <w:tcBorders>
              <w:bottom w:val="single" w:sz="4" w:space="0" w:color="000000"/>
            </w:tcBorders>
            <w:shd w:fill="E7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did not have any significant anti-dilutive securities outstanding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24</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12</w:t>
      </w:r>
      <w:r>
        <w:rPr>
          <w:color w:val="000000"/>
        </w:rPr>
        <w:t xml:space="preserve"> </w:t>
      </w:r>
      <w:r>
        <w:rPr>
          <w:rFonts w:ascii="Arial;sans-serif" w:hAnsi="Arial;sans-serif"/>
          <w:b/>
          <w:color w:val="000000"/>
          <w:sz w:val="28"/>
        </w:rPr>
        <w:t>Pension and Other Benefits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table sets forth the components of net pension and other benefit costs for the three and six months ended June 30, 2026 and 2025 (in millions): </w:t>
      </w:r>
    </w:p>
    <w:tbl>
      <w:tblPr>
        <w:tblW w:w="6339" w:type="dxa"/>
        <w:jc w:val="left"/>
        <w:tblInd w:w="0" w:type="dxa"/>
        <w:tblLayout w:type="fixed"/>
        <w:tblCellMar>
          <w:top w:w="28" w:type="dxa"/>
          <w:left w:w="28" w:type="dxa"/>
          <w:bottom w:w="28" w:type="dxa"/>
          <w:right w:w="28" w:type="dxa"/>
        </w:tblCellMar>
      </w:tblPr>
      <w:tblGrid>
        <w:gridCol w:w="1185"/>
        <w:gridCol w:w="1040"/>
        <w:gridCol w:w="1044"/>
        <w:gridCol w:w="222"/>
        <w:gridCol w:w="443"/>
        <w:gridCol w:w="114"/>
        <w:gridCol w:w="222"/>
        <w:gridCol w:w="443"/>
        <w:gridCol w:w="114"/>
        <w:gridCol w:w="211"/>
        <w:gridCol w:w="406"/>
        <w:gridCol w:w="109"/>
        <w:gridCol w:w="211"/>
        <w:gridCol w:w="421"/>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Benefits</w:t>
            </w:r>
          </w:p>
        </w:tc>
        <w:tc>
          <w:tcPr>
            <w:tcW w:w="15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 Benefits</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7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326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 Months Ended June 30,</w:t>
            </w:r>
          </w:p>
        </w:tc>
        <w:tc>
          <w:tcPr>
            <w:tcW w:w="779"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6"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22"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3"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1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6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w:t>
            </w:r>
          </w:p>
        </w:tc>
        <w:tc>
          <w:tcPr>
            <w:tcW w:w="6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actuarial losses (gains)</w:t>
            </w:r>
          </w:p>
        </w:tc>
        <w:tc>
          <w:tcPr>
            <w:tcW w:w="6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PERIODIC BENEFIT COST</w:t>
            </w:r>
          </w:p>
        </w:tc>
        <w:tc>
          <w:tcPr>
            <w:tcW w:w="22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43"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w:t>
            </w:r>
            <w:r>
              <w:rPr>
                <w:color w:val="000000"/>
              </w:rPr>
              <w:t> </w:t>
            </w:r>
          </w:p>
        </w:tc>
        <w:tc>
          <w:tcPr>
            <w:tcW w:w="11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4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w:t>
            </w:r>
            <w:r>
              <w:rPr>
                <w:color w:val="000000"/>
              </w:rPr>
              <w:t> </w:t>
            </w:r>
          </w:p>
        </w:tc>
        <w:tc>
          <w:tcPr>
            <w:tcW w:w="11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0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w:t>
            </w:r>
          </w:p>
        </w:tc>
        <w:tc>
          <w:tcPr>
            <w:tcW w:w="779"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22"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3"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3"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6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1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w:t>
            </w:r>
          </w:p>
        </w:tc>
        <w:tc>
          <w:tcPr>
            <w:tcW w:w="6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actuarial losses (gains)</w:t>
            </w:r>
          </w:p>
        </w:tc>
        <w:tc>
          <w:tcPr>
            <w:tcW w:w="66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1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1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PERIODIC BENEFIT COST</w:t>
            </w:r>
          </w:p>
        </w:tc>
        <w:tc>
          <w:tcPr>
            <w:tcW w:w="22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4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w:t>
            </w:r>
            <w:r>
              <w:rPr>
                <w:color w:val="000000"/>
              </w:rPr>
              <w:t> </w:t>
            </w:r>
          </w:p>
        </w:tc>
        <w:tc>
          <w:tcPr>
            <w:tcW w:w="11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4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w:t>
            </w:r>
            <w:r>
              <w:rPr>
                <w:color w:val="000000"/>
              </w:rPr>
              <w:t> </w:t>
            </w:r>
          </w:p>
        </w:tc>
        <w:tc>
          <w:tcPr>
            <w:tcW w:w="11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0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768"/>
          <w:sz w:val="24"/>
          <w:shd w:fill="FFFFFF" w:val="clear"/>
        </w:rPr>
      </w:pPr>
      <w:r>
        <w:rPr>
          <w:rFonts w:ascii="Arial;sans-serif" w:hAnsi="Arial;sans-serif"/>
          <w:b/>
          <w:color w:val="003768"/>
          <w:sz w:val="24"/>
          <w:shd w:fill="FFFFFF" w:val="clear"/>
        </w:rPr>
        <w:t>Employer Contributions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made no contributions to its U.S. qualified plans and $1.4 million to its foreign pension plans during the six months ended June 30, 2026. Although not required by ERISA and the Internal Revenue Code, the Company may elect to make voluntary contributions to its qualified domestic defined benefit pension plan in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25</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pPr>
      <w:r>
        <w:rPr>
          <w:rFonts w:ascii="Arial;sans-serif" w:hAnsi="Arial;sans-serif"/>
          <w:b/>
          <w:color w:val="003768"/>
          <w:sz w:val="28"/>
        </w:rPr>
        <w:t>NOTE 13</w:t>
      </w:r>
      <w:r>
        <w:rPr>
          <w:color w:val="000000"/>
        </w:rPr>
        <w:t xml:space="preserve"> </w:t>
      </w:r>
      <w:r>
        <w:rPr>
          <w:rFonts w:ascii="Arial;sans-serif" w:hAnsi="Arial;sans-serif"/>
          <w:b/>
          <w:color w:val="000000"/>
          <w:sz w:val="28"/>
        </w:rPr>
        <w:t>Guarantees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records a liability equal to the fair value of guarantees in accordance with the accounting guidance for guarantees. When it is probable that a liability has been incurred and the amount can be reasonably estimated, the Company accrues for costs associated with guarantees. The most likely costs to be incurred are accrued based on an evaluation of currently available facts and, where no amount within a range of estimates is more likely, the minimum is accrued. As of June 30, 2026 and December 31, 2025, the fair value and maximum potential payment related to the Company’s guarantees were not material.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offers product warranties that cover defects on most of its products. These warranties primarily apply to products that are properly installed, maintained and used for their intended purpose. The Company accrues estimated warranty costs at the time of sale. Estimated warranty expenses, recorded in cost of goods sold, are based upon historical information such as past experience, product failure rates, or the estimated number of units to be repaired or replaced. Adjustments are made to the product warranty accrual as claims are incurred, additional information becomes known, or as historical experience indicates.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Changes in the accrual for product warranties during the six months ended June 30, 2026 and 2025 are set forth below (in millions):</w:t>
      </w:r>
    </w:p>
    <w:tbl>
      <w:tblPr>
        <w:tblW w:w="4377" w:type="dxa"/>
        <w:jc w:val="left"/>
        <w:tblInd w:w="0" w:type="dxa"/>
        <w:tblLayout w:type="fixed"/>
        <w:tblCellMar>
          <w:top w:w="28" w:type="dxa"/>
          <w:left w:w="28" w:type="dxa"/>
          <w:bottom w:w="28" w:type="dxa"/>
          <w:right w:w="28" w:type="dxa"/>
        </w:tblCellMar>
      </w:tblPr>
      <w:tblGrid>
        <w:gridCol w:w="957"/>
        <w:gridCol w:w="840"/>
        <w:gridCol w:w="843"/>
        <w:gridCol w:w="211"/>
        <w:gridCol w:w="526"/>
        <w:gridCol w:w="109"/>
        <w:gridCol w:w="211"/>
        <w:gridCol w:w="52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640" w:type="dxa"/>
            <w:gridSpan w:val="3"/>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BALANCE AT JANUARY 1, </w:t>
            </w:r>
            <w:r>
              <w:rPr>
                <w:rFonts w:ascii="Arial;sans-serif" w:hAnsi="Arial;sans-serif"/>
                <w:b/>
                <w:color w:val="000000"/>
                <w:sz w:val="12"/>
              </w:rPr>
              <w:t>(a)</w:t>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34.0</w:t>
            </w:r>
            <w:r>
              <w:rPr>
                <w:color w:val="000000"/>
              </w:rPr>
              <w:t>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41.7</w:t>
            </w:r>
            <w:r>
              <w:rPr>
                <w:color w:val="000000"/>
              </w:rPr>
              <w:t> </w:t>
            </w:r>
          </w:p>
        </w:tc>
        <w:tc>
          <w:tcPr>
            <w:tcW w:w="15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w:t>
            </w:r>
          </w:p>
        </w:tc>
        <w:tc>
          <w:tcPr>
            <w:tcW w:w="73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Expenditures/payments/other</w:t>
            </w:r>
          </w:p>
        </w:tc>
        <w:tc>
          <w:tcPr>
            <w:tcW w:w="73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BALANCE AT JUNE 30, </w:t>
            </w:r>
            <w:r>
              <w:rPr>
                <w:rFonts w:ascii="Arial;sans-serif" w:hAnsi="Arial;sans-serif"/>
                <w:b/>
                <w:color w:val="000000"/>
                <w:sz w:val="12"/>
              </w:rPr>
              <w:t>(a)</w:t>
            </w:r>
          </w:p>
        </w:tc>
        <w:tc>
          <w:tcPr>
            <w:tcW w:w="21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33.5</w:t>
            </w:r>
            <w:r>
              <w:rPr>
                <w:color w:val="000000"/>
              </w:rPr>
              <w:t> </w:t>
            </w:r>
          </w:p>
        </w:tc>
        <w:tc>
          <w:tcPr>
            <w:tcW w:w="10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41.2</w:t>
            </w:r>
            <w:r>
              <w:rPr>
                <w:color w:val="000000"/>
              </w:rPr>
              <w:t> </w:t>
            </w:r>
          </w:p>
        </w:tc>
        <w:tc>
          <w:tcPr>
            <w:tcW w:w="154"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0"/>
        </w:rPr>
        <w:t>(a)</w:t>
      </w:r>
      <w:r>
        <w:rPr>
          <w:color w:val="000000"/>
        </w:rPr>
        <w:t xml:space="preserve"> </w:t>
      </w:r>
      <w:r>
        <w:rPr>
          <w:rFonts w:ascii="Arial;sans-serif" w:hAnsi="Arial;sans-serif"/>
          <w:b w:val="false"/>
          <w:i/>
          <w:color w:val="000000"/>
          <w:sz w:val="16"/>
        </w:rPr>
        <w:t xml:space="preserve">Refer to Note 7 </w:t>
      </w:r>
      <w:r>
        <w:rPr>
          <w:color w:val="000000"/>
        </w:rPr>
        <w:t xml:space="preserve">– </w:t>
      </w:r>
      <w:r>
        <w:rPr>
          <w:rFonts w:ascii="Arial;sans-serif" w:hAnsi="Arial;sans-serif"/>
          <w:b w:val="false"/>
          <w:i/>
          <w:color w:val="000000"/>
          <w:sz w:val="16"/>
        </w:rPr>
        <w:t xml:space="preserve">Other Accrued Liabilities and Note 8 </w:t>
      </w:r>
      <w:r>
        <w:rPr>
          <w:color w:val="000000"/>
        </w:rPr>
        <w:t xml:space="preserve">– </w:t>
      </w:r>
      <w:r>
        <w:rPr>
          <w:rFonts w:ascii="Arial;sans-serif" w:hAnsi="Arial;sans-serif"/>
          <w:b w:val="false"/>
          <w:i/>
          <w:color w:val="000000"/>
          <w:sz w:val="16"/>
        </w:rPr>
        <w:t>Other Non-Current Liabilities for a breakout of short-term and long-term warranties.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26</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14</w:t>
      </w:r>
      <w:r>
        <w:rPr>
          <w:color w:val="000000"/>
        </w:rPr>
        <w:t xml:space="preserve"> </w:t>
      </w:r>
      <w:r>
        <w:rPr>
          <w:rFonts w:ascii="Arial;sans-serif" w:hAnsi="Arial;sans-serif"/>
          <w:b/>
          <w:color w:val="000000"/>
          <w:sz w:val="28"/>
        </w:rPr>
        <w:t>Fair Value Measurement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3768"/>
          <w:sz w:val="24"/>
        </w:rPr>
      </w:pPr>
      <w:r>
        <w:rPr>
          <w:rFonts w:ascii="Arial;sans-serif" w:hAnsi="Arial;sans-serif"/>
          <w:b/>
          <w:color w:val="003768"/>
          <w:sz w:val="24"/>
        </w:rPr>
        <w:t>Financial Instruments</w:t>
      </w:r>
    </w:p>
    <w:p>
      <w:pPr>
        <w:pStyle w:val="TextBody"/>
        <w:bidi w:val="0"/>
        <w:spacing w:before="0" w:after="0"/>
        <w:jc w:val="left"/>
        <w:rPr/>
      </w:pPr>
      <w:r>
        <w:rPr/>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Financial instruments which potentially subject the Company to significant concentrations of credit loss risk consist of trade receivables, cash equivalents and investments. The Company grants credit terms in the normal course of business to its customers. Due to the diversity of its product lines, the Company has an extensive customer base, including electrical distributors and wholesalers, electric utilities, equipment manufacturers, electrical contractors, telecommunication companies and retail and hardware outlets. As part of its ongoing procedures, the Company monitors the credit worthiness of its customers. Bad debt write-offs have historically been minimal. The Company places its cash and cash equivalents with financial institutions and limits the amount of exposure in any one institution.</w:t>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 xml:space="preserve">At June 30, 2026, our accounts receivable balance was $1,150.9 million, net of allowances of $17.0 million. During the six months ended June 30, 2026, our allowances increased by approximately $3.1 million. </w:t>
      </w:r>
    </w:p>
    <w:p>
      <w:pPr>
        <w:pStyle w:val="TextBody"/>
        <w:bidi w:val="0"/>
        <w:spacing w:lineRule="auto" w:line="288" w:before="0" w:after="0"/>
        <w:jc w:val="left"/>
        <w:rPr>
          <w:rFonts w:ascii="Arial;sans-serif" w:hAnsi="Arial;sans-serif"/>
          <w:b/>
          <w:color w:val="003768"/>
          <w:sz w:val="24"/>
        </w:rPr>
      </w:pPr>
      <w:r>
        <w:rPr>
          <w:rFonts w:ascii="Arial;sans-serif" w:hAnsi="Arial;sans-serif"/>
          <w:b/>
          <w:color w:val="003768"/>
          <w:sz w:val="24"/>
        </w:rPr>
        <w:t>Investments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At June 30, 2026 and December 31, 2025, the Company had $82.1 million and $78.4 million, respectively, of available-for-sale municipal debt securities. These investments had an amortized cost of $82.0 million and $78.0 million, respectively. No allowance for credit losses related to our available-for-sale debt securities was recorded for the six months ended June 30, 2026 or June 30, 2025. As of June 30, 2026 and December 31, 2025, the unrealized losses attributable to our available-for-sale debt securities were $0.4 million and $0.4 million, respectively. The fair value of available-for-sale debt securities with unrealized losses was $30.4 million at June 30, 2026 and $20.5 million at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also had trading securities of $34.9 million at June 30, 2026 and $32.5 million at December 31, 2025 that are carried on the balance sheets at fair value. Unrealized gains and losses associated with available-for-sale debt securities are reflected in Accumulated other comprehensive loss, net of tax, while unrealized gains and losses associated with trading securities are reflected in the Condensed Consolidated Statements of Income.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3768"/>
          <w:sz w:val="24"/>
        </w:rPr>
      </w:pPr>
      <w:r>
        <w:rPr>
          <w:rFonts w:ascii="Arial;sans-serif" w:hAnsi="Arial;sans-serif"/>
          <w:b/>
          <w:color w:val="003768"/>
          <w:sz w:val="24"/>
        </w:rPr>
        <w:t>Fair value measurements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Fair value is defined as the amount that would be received for selling an asset or paid to transfer a liability in an orderly transaction between market participants at the measurement date. The FASB fair value measurement guidance established a fair value hierarchy that prioritizes the inputs used to measure fair value. The three broad levels of the fair value hierarchy are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Level 1 – Quoted prices (unadjusted) in active markets for identical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Level 2 – Quoted prices for similar assets and liabilities in active markets or inputs that are observable for the asset or liability, either directly or indirectly.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Level 3 – Unobservable inputs for which little or no market data exists, therefore requiring a company to develop its own assumptions.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27</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shows, by level within the fair value hierarchy, our financial assets and liabilities that are accounted for at fair value on a recurring basis at June 30, 2026 and December 31, 2025 (in millions):</w:t>
      </w:r>
    </w:p>
    <w:tbl>
      <w:tblPr>
        <w:tblW w:w="9426" w:type="dxa"/>
        <w:jc w:val="left"/>
        <w:tblInd w:w="0" w:type="dxa"/>
        <w:tblLayout w:type="fixed"/>
        <w:tblCellMar>
          <w:top w:w="28" w:type="dxa"/>
          <w:left w:w="28" w:type="dxa"/>
          <w:bottom w:w="28" w:type="dxa"/>
          <w:right w:w="28" w:type="dxa"/>
        </w:tblCellMar>
      </w:tblPr>
      <w:tblGrid>
        <w:gridCol w:w="1280"/>
        <w:gridCol w:w="1127"/>
        <w:gridCol w:w="1133"/>
        <w:gridCol w:w="355"/>
        <w:gridCol w:w="1037"/>
        <w:gridCol w:w="183"/>
        <w:gridCol w:w="388"/>
        <w:gridCol w:w="942"/>
        <w:gridCol w:w="200"/>
        <w:gridCol w:w="523"/>
        <w:gridCol w:w="1006"/>
        <w:gridCol w:w="271"/>
        <w:gridCol w:w="211"/>
        <w:gridCol w:w="61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(Liability)</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Quoted Prices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Active Markets for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Identical Assets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(Level 1)</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 for</w:t>
              <w:br/>
              <w:t>Similar Assets</w:t>
              <w:br/>
              <w:t>(Level 2)</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Unobservable inputs </w:t>
              <w:br/>
              <w:t xml:space="preserve">for which little or no </w:t>
              <w:br/>
              <w:t xml:space="preserve">market data exists </w:t>
              <w:br/>
              <w:t>(Level 3)</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354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2026</w:t>
            </w:r>
          </w:p>
        </w:tc>
        <w:tc>
          <w:tcPr>
            <w:tcW w:w="1575"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0"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0"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Money market funds</w:t>
            </w:r>
            <w:r>
              <w:rPr>
                <w:rFonts w:ascii="Arial;sans-serif" w:hAnsi="Arial;sans-serif"/>
                <w:b w:val="false"/>
                <w:color w:val="000000"/>
                <w:sz w:val="12"/>
              </w:rPr>
              <w:t>(a)</w:t>
            </w:r>
          </w:p>
        </w:tc>
        <w:tc>
          <w:tcPr>
            <w:tcW w:w="355"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7"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8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5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Time deposits</w:t>
            </w:r>
            <w:r>
              <w:rPr>
                <w:rFonts w:ascii="Arial;sans-serif" w:hAnsi="Arial;sans-serif"/>
                <w:b w:val="false"/>
                <w:color w:val="000000"/>
                <w:sz w:val="12"/>
              </w:rPr>
              <w:t>(b)</w:t>
            </w:r>
          </w:p>
        </w:tc>
        <w:tc>
          <w:tcPr>
            <w:tcW w:w="13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00"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for sale investments</w:t>
            </w:r>
          </w:p>
        </w:tc>
        <w:tc>
          <w:tcPr>
            <w:tcW w:w="13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200"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15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Trading securities</w:t>
            </w:r>
          </w:p>
        </w:tc>
        <w:tc>
          <w:tcPr>
            <w:tcW w:w="13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8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5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plan liabilities</w:t>
            </w:r>
          </w:p>
        </w:tc>
        <w:tc>
          <w:tcPr>
            <w:tcW w:w="13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w:t>
            </w:r>
          </w:p>
        </w:tc>
        <w:tc>
          <w:tcPr>
            <w:tcW w:w="18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w:t>
            </w:r>
          </w:p>
        </w:tc>
        <w:tc>
          <w:tcPr>
            <w:tcW w:w="15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1575"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FFFFFF"/>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Forward exchange contracts-Assets</w:t>
            </w:r>
            <w:r>
              <w:rPr>
                <w:rFonts w:ascii="Arial;sans-serif" w:hAnsi="Arial;sans-serif"/>
                <w:b w:val="false"/>
                <w:color w:val="000000"/>
                <w:sz w:val="12"/>
              </w:rPr>
              <w:t>(c)</w:t>
            </w:r>
          </w:p>
        </w:tc>
        <w:tc>
          <w:tcPr>
            <w:tcW w:w="139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00"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5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8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86.0 </w:t>
            </w:r>
          </w:p>
        </w:tc>
        <w:tc>
          <w:tcPr>
            <w:tcW w:w="200"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15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(Liability)</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 xml:space="preserve">Active Markets for </w:t>
              <w:br/>
              <w:t>Identical Assets</w:t>
              <w:br/>
              <w:t>(Level 1)</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 for</w:t>
              <w:br/>
              <w:t>Similar Assets</w:t>
              <w:br/>
              <w:t>(Level 2)</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Unobservable inputs </w:t>
              <w:br/>
              <w:t xml:space="preserve">for which little or no </w:t>
              <w:br/>
              <w:t xml:space="preserve">market data exists </w:t>
              <w:br/>
              <w:t>(Level 3)</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354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2025</w:t>
            </w:r>
          </w:p>
        </w:tc>
        <w:tc>
          <w:tcPr>
            <w:tcW w:w="157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3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00"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Money market funds</w:t>
            </w:r>
            <w:r>
              <w:rPr>
                <w:rFonts w:ascii="Arial;sans-serif" w:hAnsi="Arial;sans-serif"/>
                <w:b w:val="false"/>
                <w:color w:val="000000"/>
                <w:sz w:val="10"/>
              </w:rPr>
              <w:t>(a)</w:t>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Time deposits</w:t>
            </w:r>
            <w:r>
              <w:rPr>
                <w:rFonts w:ascii="Arial;sans-serif" w:hAnsi="Arial;sans-serif"/>
                <w:b w:val="false"/>
                <w:color w:val="000000"/>
                <w:sz w:val="12"/>
              </w:rPr>
              <w:t>(b)</w:t>
            </w:r>
          </w:p>
        </w:tc>
        <w:tc>
          <w:tcPr>
            <w:tcW w:w="13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00"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for sale investments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Trading securities</w:t>
            </w:r>
          </w:p>
        </w:tc>
        <w:tc>
          <w:tcPr>
            <w:tcW w:w="13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8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plan liabilities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1575"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Forward exchange contracts-Assets</w:t>
            </w:r>
            <w:r>
              <w:rPr>
                <w:rFonts w:ascii="Arial;sans-serif" w:hAnsi="Arial;sans-serif"/>
                <w:b w:val="false"/>
                <w:color w:val="000000"/>
                <w:sz w:val="10"/>
              </w:rPr>
              <w:t>(c)</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r>
      <w:tr>
        <w:trPr/>
        <w:tc>
          <w:tcPr>
            <w:tcW w:w="3540"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Forward exchange contracts-(Liabilities)</w:t>
            </w:r>
            <w:r>
              <w:rPr>
                <w:rFonts w:ascii="Arial;sans-serif" w:hAnsi="Arial;sans-serif"/>
                <w:b w:val="false"/>
                <w:color w:val="000000"/>
                <w:sz w:val="12"/>
              </w:rPr>
              <w:t>(d)</w:t>
            </w:r>
          </w:p>
        </w:tc>
        <w:tc>
          <w:tcPr>
            <w:tcW w:w="139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00"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5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5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187.4 </w:t>
            </w:r>
          </w:p>
        </w:tc>
        <w:tc>
          <w:tcPr>
            <w:tcW w:w="18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20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268.3 </w:t>
            </w:r>
          </w:p>
        </w:tc>
        <w:tc>
          <w:tcPr>
            <w:tcW w:w="154"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0"/>
        </w:rPr>
        <w:t>(a)</w:t>
      </w:r>
      <w:r>
        <w:rPr>
          <w:color w:val="000000"/>
        </w:rPr>
        <w:t xml:space="preserve"> </w:t>
      </w:r>
      <w:r>
        <w:rPr>
          <w:rFonts w:ascii="Arial;sans-serif" w:hAnsi="Arial;sans-serif"/>
          <w:b w:val="false"/>
          <w:i/>
          <w:color w:val="000000"/>
          <w:sz w:val="16"/>
        </w:rPr>
        <w:t>Money market funds are reflected in Cash and cash equivalents in the Condensed Consolidated Balance Sheets.</w:t>
      </w:r>
    </w:p>
    <w:p>
      <w:pPr>
        <w:pStyle w:val="TextBody"/>
        <w:bidi w:val="0"/>
        <w:spacing w:lineRule="auto" w:line="288" w:before="0" w:after="0"/>
        <w:jc w:val="left"/>
        <w:rPr/>
      </w:pPr>
      <w:r>
        <w:rPr>
          <w:rFonts w:ascii="Arial;sans-serif" w:hAnsi="Arial;sans-serif"/>
          <w:b w:val="false"/>
          <w:i/>
          <w:color w:val="000000"/>
          <w:sz w:val="10"/>
        </w:rPr>
        <w:t>(b)</w:t>
      </w:r>
      <w:r>
        <w:rPr>
          <w:rFonts w:ascii="Arial;sans-serif" w:hAnsi="Arial;sans-serif"/>
          <w:b w:val="false"/>
          <w:i/>
          <w:color w:val="000000"/>
          <w:sz w:val="16"/>
        </w:rPr>
        <w:t>Time deposits are reflected in current and long-term investments depending on their maturity date in the Condensed Consolidated Balance Sheets.</w:t>
      </w:r>
    </w:p>
    <w:p>
      <w:pPr>
        <w:pStyle w:val="TextBody"/>
        <w:bidi w:val="0"/>
        <w:spacing w:lineRule="auto" w:line="288" w:before="0" w:after="0"/>
        <w:jc w:val="left"/>
        <w:rPr/>
      </w:pPr>
      <w:r>
        <w:rPr>
          <w:rFonts w:ascii="Arial;sans-serif" w:hAnsi="Arial;sans-serif"/>
          <w:b w:val="false"/>
          <w:i/>
          <w:color w:val="000000"/>
          <w:sz w:val="10"/>
        </w:rPr>
        <w:t xml:space="preserve">(c) </w:t>
      </w:r>
      <w:r>
        <w:rPr>
          <w:rFonts w:ascii="Arial;sans-serif" w:hAnsi="Arial;sans-serif"/>
          <w:b w:val="false"/>
          <w:i/>
          <w:color w:val="000000"/>
          <w:sz w:val="16"/>
        </w:rPr>
        <w:t>Forward exchange contracts-Assets are reflected in Other current assets in the Condensed Consolidated Balance Sheets.</w:t>
      </w:r>
    </w:p>
    <w:p>
      <w:pPr>
        <w:pStyle w:val="TextBody"/>
        <w:bidi w:val="0"/>
        <w:spacing w:lineRule="auto" w:line="288" w:before="0" w:after="0"/>
        <w:jc w:val="left"/>
        <w:rPr/>
      </w:pPr>
      <w:r>
        <w:rPr>
          <w:rFonts w:ascii="Arial;sans-serif" w:hAnsi="Arial;sans-serif"/>
          <w:b w:val="false"/>
          <w:i/>
          <w:color w:val="000000"/>
          <w:sz w:val="10"/>
        </w:rPr>
        <w:t xml:space="preserve">(d) </w:t>
      </w:r>
      <w:r>
        <w:rPr>
          <w:rFonts w:ascii="Arial;sans-serif" w:hAnsi="Arial;sans-serif"/>
          <w:b w:val="false"/>
          <w:i/>
          <w:color w:val="000000"/>
          <w:sz w:val="16"/>
        </w:rPr>
        <w:t>Forward exchange contracts-(Liabilities) are reflected in Other accrued liabilities in the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methods and assumptions used to estimate the Level 2 fair values are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Forward exchange contracts – The fair value of forward exchange contracts is based on quoted forward foreign exchange prices at the reporting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Available-for-sale municipal bonds classified in Level 2 – The fair value of available-for-sale investments in municipal bonds is based on observable market-based inputs, other than quoted prices in active markets for identical assets.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Deferred compensation plans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offers certain employees the opportunity to participate in non-qualified deferred compensation plans. A participant’s deferrals are invested in a variety of participant-directed debt and equity mutual funds that are classified as trading securities. The Company purchased $2.6 million and $3.1 million of trading securities related to these deferred compensation plans during each of the six months ended June 30, 2026 and 2025, respectively. As a result of participant distributions, the Company sold $2.9 million of these trading securities during the six months ended June 30, 2026 and $3.3 million during the six months ended June 30, 2025. The unrealized gains and losses associated with these trading securities are directly offset by the changes in the fair value of the underlying deferred compensation plan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28</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Long-Term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and December 31, 2025, the carrying value of long-term debt, net of unamortized discount and debt issuance costs, was $4,803.9 million and $2,036.3 million, respectively. The estimated fair value of the long-term debt as of June 30, 2026 and December 31, 2025 was $4,776.5 million and $2,008.3 million, respectively, using quoted market prices in active markets for similar liabilities (Level 2).</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29</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15</w:t>
      </w:r>
      <w:r>
        <w:rPr>
          <w:color w:val="000000"/>
        </w:rPr>
        <w:t xml:space="preserve"> </w:t>
      </w:r>
      <w:r>
        <w:rPr>
          <w:rFonts w:ascii="Arial;sans-serif" w:hAnsi="Arial;sans-serif"/>
          <w:b/>
          <w:color w:val="000000"/>
          <w:sz w:val="28"/>
        </w:rPr>
        <w:t>Commitments and Contingencies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is subject to various legal proceedings arising in the normal course of its business. These proceedings include claims for damages arising out of use of the Company’s products, intellectual property, workers’ compensation and environmental matters. The Company is self-insured up to specified limits for certain types of claims, including product liability and workers’ compensation, and is fully self-insured for certain other types of claims, including environmental and intellectual property matters. The Company recognizes a liability for any contingency that in management’s judgment is probable of occurrence and can be reasonably estimated. We continually reassess the likelihood of adverse judgments and outcomes in these matters, as well as estimated ranges of possible losses based upon an analysis of each matter which includes advice of outside legal counsel and, if applicable, other experts.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30</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16</w:t>
      </w:r>
      <w:r>
        <w:rPr>
          <w:color w:val="000000"/>
        </w:rPr>
        <w:t xml:space="preserve"> </w:t>
      </w:r>
      <w:r>
        <w:rPr>
          <w:rFonts w:ascii="Arial;sans-serif" w:hAnsi="Arial;sans-serif"/>
          <w:b/>
          <w:color w:val="000000"/>
          <w:sz w:val="28"/>
        </w:rPr>
        <w:t>Restructuring Costs and Other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the three and six months ended June 30, 2026, we incurred costs for restructuring actions initiated in 2026 as well as costs for restructuring actions initiated in prior years. Our restructuring actions are associated with cost reduction efforts that include the consolidation of manufacturing and distribution facilities, as well as workforce reductions. Restructuring costs include severance and employee benefits, asset impairments, accelerated depreciation, as well as facility closure, contract termination and certain pension costs that are directly related to restructuring actions. These costs are predominantly settled in cash from our operating activities and are generally settled within one year, with the exception of asset impairments, which are non-cash.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Pre-tax restructuring costs incurred in each of our reporting segments and the location of the costs in the Condensed Consolidated Statements of Income for the three and six months ended June 30, 2026 and 2025 are as follows (in millions):</w:t>
      </w:r>
    </w:p>
    <w:tbl>
      <w:tblPr>
        <w:tblW w:w="8888" w:type="dxa"/>
        <w:jc w:val="center"/>
        <w:tblInd w:w="0" w:type="dxa"/>
        <w:tblLayout w:type="fixed"/>
        <w:tblCellMar>
          <w:top w:w="28" w:type="dxa"/>
          <w:left w:w="28" w:type="dxa"/>
          <w:bottom w:w="28" w:type="dxa"/>
          <w:right w:w="28" w:type="dxa"/>
        </w:tblCellMar>
      </w:tblPr>
      <w:tblGrid>
        <w:gridCol w:w="1104"/>
        <w:gridCol w:w="968"/>
        <w:gridCol w:w="973"/>
        <w:gridCol w:w="232"/>
        <w:gridCol w:w="464"/>
        <w:gridCol w:w="120"/>
        <w:gridCol w:w="232"/>
        <w:gridCol w:w="464"/>
        <w:gridCol w:w="120"/>
        <w:gridCol w:w="390"/>
        <w:gridCol w:w="751"/>
        <w:gridCol w:w="201"/>
        <w:gridCol w:w="390"/>
        <w:gridCol w:w="751"/>
        <w:gridCol w:w="201"/>
        <w:gridCol w:w="211"/>
        <w:gridCol w:w="421"/>
        <w:gridCol w:w="109"/>
        <w:gridCol w:w="211"/>
        <w:gridCol w:w="421"/>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1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342"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42"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7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8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 goods sold</w:t>
            </w:r>
          </w:p>
        </w:tc>
        <w:tc>
          <w:tcPr>
            <w:tcW w:w="26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 &amp; administrative expense</w:t>
            </w:r>
          </w:p>
        </w:tc>
        <w:tc>
          <w:tcPr>
            <w:tcW w:w="1527"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04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23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0"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69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0"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Pre-Tax Restructuring Costs</w:t>
            </w:r>
          </w:p>
        </w:tc>
        <w:tc>
          <w:tcPr>
            <w:tcW w:w="23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6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12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6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w:t>
            </w:r>
            <w:r>
              <w:rPr>
                <w:color w:val="000000"/>
              </w:rPr>
              <w:t> </w:t>
            </w:r>
          </w:p>
        </w:tc>
        <w:tc>
          <w:tcPr>
            <w:tcW w:w="120"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10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w:t>
            </w:r>
            <w:r>
              <w:rPr>
                <w:color w:val="000000"/>
              </w:rPr>
              <w:t> </w:t>
            </w:r>
          </w:p>
        </w:tc>
        <w:tc>
          <w:tcPr>
            <w:tcW w:w="15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88" w:type="dxa"/>
        <w:jc w:val="center"/>
        <w:tblInd w:w="0" w:type="dxa"/>
        <w:tblLayout w:type="fixed"/>
        <w:tblCellMar>
          <w:top w:w="28" w:type="dxa"/>
          <w:left w:w="28" w:type="dxa"/>
          <w:bottom w:w="28" w:type="dxa"/>
          <w:right w:w="28" w:type="dxa"/>
        </w:tblCellMar>
      </w:tblPr>
      <w:tblGrid>
        <w:gridCol w:w="1104"/>
        <w:gridCol w:w="968"/>
        <w:gridCol w:w="973"/>
        <w:gridCol w:w="232"/>
        <w:gridCol w:w="464"/>
        <w:gridCol w:w="120"/>
        <w:gridCol w:w="232"/>
        <w:gridCol w:w="464"/>
        <w:gridCol w:w="120"/>
        <w:gridCol w:w="382"/>
        <w:gridCol w:w="763"/>
        <w:gridCol w:w="197"/>
        <w:gridCol w:w="382"/>
        <w:gridCol w:w="763"/>
        <w:gridCol w:w="197"/>
        <w:gridCol w:w="211"/>
        <w:gridCol w:w="421"/>
        <w:gridCol w:w="109"/>
        <w:gridCol w:w="211"/>
        <w:gridCol w:w="421"/>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1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342"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42"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7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8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 goods sold</w:t>
            </w:r>
          </w:p>
        </w:tc>
        <w:tc>
          <w:tcPr>
            <w:tcW w:w="26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 &amp; administrative expense</w:t>
            </w:r>
          </w:p>
        </w:tc>
        <w:tc>
          <w:tcPr>
            <w:tcW w:w="1527"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04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23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20"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0"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7"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69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20"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9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Pre-Tax Restructuring Costs</w:t>
            </w:r>
          </w:p>
        </w:tc>
        <w:tc>
          <w:tcPr>
            <w:tcW w:w="23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6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w:t>
            </w:r>
            <w:r>
              <w:rPr>
                <w:color w:val="000000"/>
              </w:rPr>
              <w:t> </w:t>
            </w:r>
          </w:p>
        </w:tc>
        <w:tc>
          <w:tcPr>
            <w:tcW w:w="12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6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w:t>
            </w:r>
            <w:r>
              <w:rPr>
                <w:color w:val="000000"/>
              </w:rPr>
              <w:t> </w:t>
            </w:r>
          </w:p>
        </w:tc>
        <w:tc>
          <w:tcPr>
            <w:tcW w:w="120"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19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3"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97"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w:t>
            </w:r>
            <w:r>
              <w:rPr>
                <w:color w:val="000000"/>
              </w:rPr>
              <w:t> </w:t>
            </w:r>
          </w:p>
        </w:tc>
        <w:tc>
          <w:tcPr>
            <w:tcW w:w="10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w:t>
            </w:r>
            <w:r>
              <w:rPr>
                <w:color w:val="000000"/>
              </w:rPr>
              <w:t> </w:t>
            </w:r>
          </w:p>
        </w:tc>
        <w:tc>
          <w:tcPr>
            <w:tcW w:w="15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accrued liabilities for our restructuring actions (in millions):</w:t>
      </w:r>
    </w:p>
    <w:tbl>
      <w:tblPr>
        <w:tblW w:w="10205" w:type="dxa"/>
        <w:jc w:val="center"/>
        <w:tblInd w:w="0" w:type="dxa"/>
        <w:tblLayout w:type="fixed"/>
        <w:tblCellMar>
          <w:top w:w="28" w:type="dxa"/>
          <w:left w:w="28" w:type="dxa"/>
          <w:bottom w:w="28" w:type="dxa"/>
          <w:right w:w="28" w:type="dxa"/>
        </w:tblCellMar>
      </w:tblPr>
      <w:tblGrid>
        <w:gridCol w:w="993"/>
        <w:gridCol w:w="873"/>
        <w:gridCol w:w="875"/>
        <w:gridCol w:w="530"/>
        <w:gridCol w:w="1059"/>
        <w:gridCol w:w="277"/>
        <w:gridCol w:w="508"/>
        <w:gridCol w:w="1017"/>
        <w:gridCol w:w="265"/>
        <w:gridCol w:w="536"/>
        <w:gridCol w:w="1072"/>
        <w:gridCol w:w="280"/>
        <w:gridCol w:w="513"/>
        <w:gridCol w:w="1025"/>
        <w:gridCol w:w="382"/>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Beginning Accrued</w:t>
              <w:br/>
              <w:t> Restructuring Balance 1/1/26</w:t>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Pre-tax Restructuring Costs</w:t>
            </w:r>
          </w:p>
        </w:tc>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Utilization and Foreign Exchange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Ending Accrued</w:t>
              <w:br/>
              <w:t>Restructuring Balance 6/30/26</w:t>
            </w:r>
          </w:p>
        </w:tc>
      </w:tr>
      <w:tr>
        <w:trPr/>
        <w:tc>
          <w:tcPr>
            <w:tcW w:w="274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 Restructuring Actions</w:t>
            </w:r>
          </w:p>
        </w:tc>
        <w:tc>
          <w:tcPr>
            <w:tcW w:w="1866"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w:t>
            </w:r>
          </w:p>
        </w:tc>
        <w:tc>
          <w:tcPr>
            <w:tcW w:w="5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write-downs</w:t>
            </w:r>
          </w:p>
        </w:tc>
        <w:tc>
          <w:tcPr>
            <w:tcW w:w="158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Facility closure and other costs</w:t>
            </w:r>
          </w:p>
        </w:tc>
        <w:tc>
          <w:tcPr>
            <w:tcW w:w="15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Total 2026 Restructuring Actions</w:t>
            </w:r>
          </w:p>
        </w:tc>
        <w:tc>
          <w:tcPr>
            <w:tcW w:w="530"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17"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265"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w:t>
            </w:r>
          </w:p>
        </w:tc>
        <w:tc>
          <w:tcPr>
            <w:tcW w:w="280"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5"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w:t>
            </w:r>
            <w:r>
              <w:rPr>
                <w:color w:val="000000"/>
              </w:rPr>
              <w:t> </w:t>
            </w:r>
          </w:p>
        </w:tc>
        <w:tc>
          <w:tcPr>
            <w:tcW w:w="382"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 and Prior Restructuring Actions</w:t>
            </w:r>
          </w:p>
        </w:tc>
        <w:tc>
          <w:tcPr>
            <w:tcW w:w="18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w:t>
            </w:r>
          </w:p>
        </w:tc>
        <w:tc>
          <w:tcPr>
            <w:tcW w:w="530"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7"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65"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2"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280"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8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write-downs</w:t>
            </w:r>
          </w:p>
        </w:tc>
        <w:tc>
          <w:tcPr>
            <w:tcW w:w="15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Facility closure and other costs</w:t>
            </w:r>
          </w:p>
        </w:tc>
        <w:tc>
          <w:tcPr>
            <w:tcW w:w="158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7"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65"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80"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8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Total 2025 and Prior Restructuring Actions</w:t>
            </w:r>
          </w:p>
        </w:tc>
        <w:tc>
          <w:tcPr>
            <w:tcW w:w="530"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9"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w:t>
            </w:r>
            <w:r>
              <w:rPr>
                <w:color w:val="000000"/>
              </w:rPr>
              <w:t> </w:t>
            </w:r>
          </w:p>
        </w:tc>
        <w:tc>
          <w:tcPr>
            <w:tcW w:w="27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17"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26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2"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w:t>
            </w:r>
          </w:p>
        </w:tc>
        <w:tc>
          <w:tcPr>
            <w:tcW w:w="280"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5"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382"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Restructuring Actions</w:t>
            </w:r>
          </w:p>
        </w:tc>
        <w:tc>
          <w:tcPr>
            <w:tcW w:w="53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w:t>
            </w:r>
            <w:r>
              <w:rPr>
                <w:color w:val="000000"/>
              </w:rPr>
              <w:t> </w:t>
            </w:r>
          </w:p>
        </w:tc>
        <w:tc>
          <w:tcPr>
            <w:tcW w:w="27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1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w:t>
            </w:r>
            <w:r>
              <w:rPr>
                <w:color w:val="000000"/>
              </w:rPr>
              <w:t> </w:t>
            </w:r>
          </w:p>
        </w:tc>
        <w:tc>
          <w:tcPr>
            <w:tcW w:w="265"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w:t>
            </w:r>
          </w:p>
        </w:tc>
        <w:tc>
          <w:tcPr>
            <w:tcW w:w="28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5"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38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31</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actual costs incurred and total expected cost in each of our reporting segments of our on-going restructuring actions are as follows (in millions):</w:t>
      </w:r>
    </w:p>
    <w:tbl>
      <w:tblPr>
        <w:tblW w:w="10205" w:type="dxa"/>
        <w:jc w:val="center"/>
        <w:tblInd w:w="0" w:type="dxa"/>
        <w:tblLayout w:type="fixed"/>
        <w:tblCellMar>
          <w:top w:w="28" w:type="dxa"/>
          <w:left w:w="28" w:type="dxa"/>
          <w:bottom w:w="28" w:type="dxa"/>
          <w:right w:w="28" w:type="dxa"/>
        </w:tblCellMar>
      </w:tblPr>
      <w:tblGrid>
        <w:gridCol w:w="1153"/>
        <w:gridCol w:w="1014"/>
        <w:gridCol w:w="1015"/>
        <w:gridCol w:w="368"/>
        <w:gridCol w:w="918"/>
        <w:gridCol w:w="190"/>
        <w:gridCol w:w="454"/>
        <w:gridCol w:w="1133"/>
        <w:gridCol w:w="234"/>
        <w:gridCol w:w="487"/>
        <w:gridCol w:w="974"/>
        <w:gridCol w:w="252"/>
        <w:gridCol w:w="538"/>
        <w:gridCol w:w="1073"/>
        <w:gridCol w:w="402"/>
      </w:tblGrid>
      <w:tr>
        <w:trPr/>
        <w:tc>
          <w:tcPr>
            <w:tcW w:w="1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expected costs</w:t>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Costs incurred during 2025</w:t>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Costs incurred in the first</w:t>
              <w:br/>
              <w:t> six months of 2026</w:t>
            </w:r>
          </w:p>
        </w:tc>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costs at 6/30/2026</w:t>
            </w:r>
          </w:p>
        </w:tc>
      </w:tr>
      <w:tr>
        <w:trPr/>
        <w:tc>
          <w:tcPr>
            <w:tcW w:w="3182"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 Restructuring Actions</w:t>
            </w:r>
          </w:p>
        </w:tc>
        <w:tc>
          <w:tcPr>
            <w:tcW w:w="1476"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28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90"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5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40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Total 2026 Restructuring Actions</w:t>
            </w:r>
          </w:p>
        </w:tc>
        <w:tc>
          <w:tcPr>
            <w:tcW w:w="3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w:t>
            </w:r>
            <w:r>
              <w:rPr>
                <w:color w:val="000000"/>
              </w:rPr>
              <w:t> </w:t>
            </w:r>
          </w:p>
        </w:tc>
        <w:tc>
          <w:tcPr>
            <w:tcW w:w="1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3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25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40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 and Prior Restructuring Actions</w:t>
            </w:r>
          </w:p>
        </w:tc>
        <w:tc>
          <w:tcPr>
            <w:tcW w:w="1476"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Utility Solutions</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Electrical Solutions</w:t>
            </w:r>
          </w:p>
        </w:tc>
        <w:tc>
          <w:tcPr>
            <w:tcW w:w="128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90"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3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5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40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Total 2025 and Prior Restructuring Actions</w:t>
            </w:r>
          </w:p>
        </w:tc>
        <w:tc>
          <w:tcPr>
            <w:tcW w:w="3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w:t>
            </w:r>
            <w:r>
              <w:rPr>
                <w:color w:val="000000"/>
              </w:rPr>
              <w:t> </w:t>
            </w:r>
          </w:p>
        </w:tc>
        <w:tc>
          <w:tcPr>
            <w:tcW w:w="1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3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w:t>
            </w:r>
            <w:r>
              <w:rPr>
                <w:color w:val="000000"/>
              </w:rPr>
              <w:t> </w:t>
            </w:r>
          </w:p>
        </w:tc>
        <w:tc>
          <w:tcPr>
            <w:tcW w:w="2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25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40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Restructuring Actions</w:t>
            </w:r>
          </w:p>
        </w:tc>
        <w:tc>
          <w:tcPr>
            <w:tcW w:w="36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w:t>
            </w:r>
            <w:r>
              <w:rPr>
                <w:color w:val="000000"/>
              </w:rPr>
              <w:t> </w:t>
            </w:r>
          </w:p>
        </w:tc>
        <w:tc>
          <w:tcPr>
            <w:tcW w:w="19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3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w:t>
            </w:r>
            <w:r>
              <w:rPr>
                <w:color w:val="000000"/>
              </w:rPr>
              <w:t> </w:t>
            </w:r>
          </w:p>
        </w:tc>
        <w:tc>
          <w:tcPr>
            <w:tcW w:w="23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w:t>
            </w:r>
            <w:r>
              <w:rPr>
                <w:color w:val="000000"/>
              </w:rPr>
              <w:t> </w:t>
            </w:r>
          </w:p>
        </w:tc>
        <w:tc>
          <w:tcPr>
            <w:tcW w:w="25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40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32</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17</w:t>
      </w:r>
      <w:r>
        <w:rPr>
          <w:color w:val="000000"/>
        </w:rPr>
        <w:t xml:space="preserve"> </w:t>
      </w:r>
      <w:r>
        <w:rPr>
          <w:rFonts w:ascii="Arial;sans-serif" w:hAnsi="Arial;sans-serif"/>
          <w:b/>
          <w:color w:val="000000"/>
          <w:sz w:val="28"/>
        </w:rPr>
        <w:t>Debt and Financing Arrangements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Long-term debt consists of the following (in millions): </w:t>
      </w:r>
    </w:p>
    <w:tbl>
      <w:tblPr>
        <w:tblW w:w="6435" w:type="dxa"/>
        <w:jc w:val="left"/>
        <w:tblInd w:w="0" w:type="dxa"/>
        <w:tblLayout w:type="fixed"/>
        <w:tblCellMar>
          <w:top w:w="28" w:type="dxa"/>
          <w:left w:w="28" w:type="dxa"/>
          <w:bottom w:w="28" w:type="dxa"/>
          <w:right w:w="28" w:type="dxa"/>
        </w:tblCellMar>
      </w:tblPr>
      <w:tblGrid>
        <w:gridCol w:w="911"/>
        <w:gridCol w:w="800"/>
        <w:gridCol w:w="809"/>
        <w:gridCol w:w="270"/>
        <w:gridCol w:w="270"/>
        <w:gridCol w:w="271"/>
        <w:gridCol w:w="247"/>
        <w:gridCol w:w="915"/>
        <w:gridCol w:w="127"/>
        <w:gridCol w:w="334"/>
        <w:gridCol w:w="1237"/>
        <w:gridCol w:w="244"/>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25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notes at 3.15%</w:t>
            </w:r>
          </w:p>
        </w:tc>
        <w:tc>
          <w:tcPr>
            <w:tcW w:w="81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2027</w:t>
            </w:r>
          </w:p>
        </w:tc>
        <w:tc>
          <w:tcPr>
            <w:tcW w:w="24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299.4 </w:t>
            </w:r>
          </w:p>
        </w:tc>
        <w:tc>
          <w:tcPr>
            <w:tcW w:w="127"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7"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299.1 </w:t>
            </w:r>
          </w:p>
        </w:tc>
        <w:tc>
          <w:tcPr>
            <w:tcW w:w="24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notes at 3.50%</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2028</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notes at 2.300%</w:t>
            </w:r>
          </w:p>
        </w:tc>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2031</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297.9 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297.7 </w:t>
            </w:r>
          </w:p>
        </w:tc>
        <w:tc>
          <w:tcPr>
            <w:tcW w:w="24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notes at 4.650%</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2031</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notes at 4.900%</w:t>
            </w:r>
          </w:p>
        </w:tc>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2033</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688.9 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notes at 4.800%</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2035</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392.6 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notes at 5.150%</w:t>
            </w:r>
          </w:p>
        </w:tc>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2036</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687.6 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2025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2028</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599.1 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2026</w:t>
            </w:r>
          </w:p>
        </w:tc>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2029</w:t>
            </w:r>
          </w:p>
        </w:tc>
        <w:tc>
          <w:tcPr>
            <w:tcW w:w="1162"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897.1 </w:t>
            </w:r>
          </w:p>
        </w:tc>
        <w:tc>
          <w:tcPr>
            <w:tcW w:w="12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bottom w:val="single" w:sz="8" w:space="0" w:color="6D6D6D"/>
            </w:tcBorders>
            <w:tcMar>
              <w:top w:w="52"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8"/>
              </w:rPr>
              <w:t>TOTAL LONG-TERM DEBT</w:t>
            </w:r>
            <w:r>
              <w:rPr>
                <w:rFonts w:ascii="Arial;sans-serif" w:hAnsi="Arial;sans-serif"/>
                <w:b/>
                <w:color w:val="000000"/>
                <w:sz w:val="12"/>
              </w:rPr>
              <w:t>(a)</w:t>
            </w:r>
          </w:p>
        </w:tc>
        <w:tc>
          <w:tcPr>
            <w:tcW w:w="811" w:type="dxa"/>
            <w:gridSpan w:val="3"/>
            <w:tcBorders>
              <w:top w:val="single" w:sz="4" w:space="0" w:color="000000"/>
              <w:bottom w:val="single" w:sz="8" w:space="0" w:color="6D6D6D"/>
            </w:tcBorders>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single" w:sz="8" w:space="0" w:color="6D6D6D"/>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5" w:type="dxa"/>
            <w:tcBorders>
              <w:top w:val="single" w:sz="4" w:space="0" w:color="000000"/>
              <w:bottom w:val="single" w:sz="8" w:space="0" w:color="6D6D6D"/>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4,803.9</w:t>
            </w:r>
            <w:r>
              <w:rPr>
                <w:color w:val="000000"/>
              </w:rPr>
              <w:t> </w:t>
            </w:r>
          </w:p>
        </w:tc>
        <w:tc>
          <w:tcPr>
            <w:tcW w:w="127" w:type="dxa"/>
            <w:tcBorders>
              <w:top w:val="single" w:sz="4" w:space="0" w:color="000000"/>
              <w:bottom w:val="single" w:sz="8" w:space="0" w:color="6D6D6D"/>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bottom w:val="single" w:sz="8" w:space="0" w:color="6D6D6D"/>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37" w:type="dxa"/>
            <w:tcBorders>
              <w:top w:val="single" w:sz="4" w:space="0" w:color="000000"/>
              <w:bottom w:val="single" w:sz="8" w:space="0" w:color="6D6D6D"/>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2,036.3</w:t>
            </w:r>
            <w:r>
              <w:rPr>
                <w:color w:val="000000"/>
              </w:rPr>
              <w:t> </w:t>
            </w:r>
          </w:p>
        </w:tc>
        <w:tc>
          <w:tcPr>
            <w:tcW w:w="244" w:type="dxa"/>
            <w:tcBorders>
              <w:top w:val="single" w:sz="4" w:space="0" w:color="000000"/>
              <w:bottom w:val="single" w:sz="8" w:space="0" w:color="6D6D6D"/>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(a)</w:t>
      </w:r>
      <w:r>
        <w:rPr>
          <w:rFonts w:ascii="Arial;sans-serif" w:hAnsi="Arial;sans-serif"/>
          <w:b w:val="false"/>
          <w:i/>
          <w:color w:val="000000"/>
          <w:sz w:val="16"/>
        </w:rPr>
        <w:t xml:space="preserve">Long-term debt is presented net of debt issuance costs and unamortized discounts.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shd w:fill="FFFFFF" w:val="clear"/>
        </w:rPr>
      </w:pPr>
      <w:r>
        <w:rPr>
          <w:rFonts w:ascii="Arial;sans-serif" w:hAnsi="Arial;sans-serif"/>
          <w:b/>
          <w:i/>
          <w:color w:val="000000"/>
          <w:sz w:val="18"/>
          <w:shd w:fill="FFFFFF" w:val="clear"/>
        </w:rPr>
        <w:t>2026 Term Loan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May 15, 2026, the Company entered into a Term Loan Agreement (the "2026 Term Loan Agreement") with a syndicate of lenders and JPMorgan Chase Bank, N.A., as administrative agent. On June 8, 2026, the Company borrowed $900 million under the 2026 Term Loan Agreement (the "2026 Term Loan") on an unsecured basis to finance a portion of the purchase price of the NSI Industries acquisition. The 2026 Term Loan was made in a single borrowing and will be due and payable on June 8, 2029. The 2026 Term Loan bears interest based on the Term SOFR Rate (as defined in the 2026 Term Loan Agreement), plus an applicable interest addition based on Hubbell's credit ratings. The interest rate on the 2026 Term Loan as of June 30, 2026 was 4.65%. Hubbell also paid to the lenders certain customary fees in connection with the 2026 Term Loan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2026 Term Loan Agreement contains representations and warranties and affirmative and negative covenants customary for an unsecured financing of this type, as well as a financial covenant requiring that, as of the last day of each fiscal quarter, the ratio of total indebtedness to total capitalization shall not be greater than 65%. The Company was in compliance with this covenant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2025 Term Loan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September 29, 2025, the Company entered into a Term Loan Agreement (the "2025 Term Loan Agreement") with a syndicate of lenders and JPMorgan Chase Bank, N.A., as administrative agent. On October 1, 2025, the Company borrowed $600 million under the 2025 Term Loan Agreement (the "2025 Term Loan") on an unsecured basis to finance the majority of the purchase price of the DMC Power acquisition. The 2025 Term Loan was made in a single borrowing and will be due and payable on September 29, 2028. The 2025 Term Loan bears interest based on the Term SOFR Rate (as defined in the 2025 Term Loan Agreement), plus an applicable interest addition based on Hubbell's credit ratings. The interest rate on the 2025 Term Loan as of June 30, 2026 was 4.68%. Hubbell also paid to the lenders certain customary fees in connection with the 2025 Term Loan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2025 Term Loan Agreement contains representations and warranties and affirmative and negative covenants customary for an unsecured financing of this type, as well as a financial covenant requiring that, as of the last day of each fiscal quarter, the ratio of total indebtedness to total capitalization shall not be greater than 65%. The Company was in compliance with this covenant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2025 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March 25, 2025, the Company, as borrower, and each foreign subsidiary borrower from time to time party thereto (collectively, the “Foreign Subsidiary Borrowers”) entered into a five-year credit agreement with a syndicate of lenders and JPMorgan Chase Bank, N.A., as administrative agent, that provides for a $1.0 billion committed unsecured revolving credit facility (the “Revolving Credit Agreement”). The obligations of the Foreign Subsidiary Borrowers (if any) under the Revolving Credit Agreement are guaranteed by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Commitments under the Revolving Credit Agreement may be conditionally increased to an aggregate amount not to exceed $1.5 billion. The Revolving Credit Agreement includes a $50.0 million sub-limit for the issuance of letters of credit. The sum of the dollar amount of loans and letters of credit to the Foreign Subsidiary Borrowers under the Revolving Credit Agreement may not exceed $100.0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33</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interest rate applicable to borrowings under the Revolving Credit Agreement is either (i) the alternate base rate (as defined in the Revolving Credit Agreement) or (ii) the term SOFR rate (as defined in the Revolving Credit Agreement) plus an applicable margin based on the Company's credit ratings.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revolving loans outstanding under the Revolving Credit Agreement will be due and payable on March 25, 2030. The Revolving Credit Agreement provides for up to two one-year maturity extensions. As of June 30, 2026, the credit facility was undrawn.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Revolving Credit Agreement contains a sole financial covenant requiring that, as of the last day of each fiscal quarter, the ratio of total indebtedness to total capitalization shall not be greater than 65%. The Company was in compliance with this covenant as of June 30,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shd w:fill="FFFFFF" w:val="clear"/>
        </w:rPr>
      </w:pPr>
      <w:r>
        <w:rPr>
          <w:rFonts w:ascii="Arial;sans-serif" w:hAnsi="Arial;sans-serif"/>
          <w:b/>
          <w:i/>
          <w:color w:val="000000"/>
          <w:sz w:val="18"/>
          <w:shd w:fill="FFFFFF" w:val="clear"/>
        </w:rPr>
        <w:t>Unsecured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June 8, 2026, the Company completed a public offering of $500 million aggregate principal amount of its 4.650% Senior Notes due 2031 (the "2031 Notes"), $700 million aggregate principal amount of its 4.900% Senior Notes due 2033 (the "2033 Notes"), and $700 million aggregate principal amount of its 5.150% Senior Notes due 2036 (the "2036 Notes"). The net proceeds from the offering of the Notes were approximately $1,868.9 million, after deducting the underwriting discount and estimated offering expenses payable by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2031 Notes will mature on June 15, 2031, the 2033 Notes will mature on June 15, 2033 and the 2036 Notes will mature on June 15, 2036. Interest on the Notes will be payable semi-annually in arrears on June 15 and December 15 of each year, beginning on December 15, 2026. The Company used the net proceeds from the offerings, along with the proceeds from the 2026 Term Loan and issuance of commercial paper to fund purchase of NSI Industries.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November 14, 2025, the Company completed a public offering of $400 million aggregate principal amount of its 4.800% Senior Notes due 2035 (the “2035 Notes” and collectively with those described below, the "Notes"). The net proceeds from the offering were approximately $392.7 million after deducting the underwriting discount and estimated offering expenses payable by the Company. The 2035 Notes bear interest at a rate of 4.800% per annum from November 14, 2025. Interest on the 2035 Notes is payable semi-annually in arrears on May 15 and November 15 of each year, beginning on May 15, 2026. The 2035 Notes will mature on November 15, 2035. The Company used the net proceeds from the offering of the 2035 Notes, together with cash on hand, on December 1, 2025, to redeem in full all of the Company’s outstanding 3.350% Senior Notes due in 2026 for an aggregate principal amount of $400 million, which had a stated maturity date of March 1, 2026 (the "2026 Notes"), and to pay the accrued interest in respect thereof.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 xml:space="preserve">Short-Term Debt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$568.7 million and $289.1 million of short-term debt outstanding at June 30, 2026 and December 31, 2025, respectively, composed of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$567.0 million of commercial paper borrowings outstanding at June 30, 2026, and $287.0 million of commercial paper borrowings outstanding at December 31,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$1.7 million and $2.1 million of other short-term debt outstanding at June 30, 2026 and December 31, 2025, respectively, which consisted of amounts outstanding under our commercial card program.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34</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r>
        <w:rPr>
          <w:rFonts w:ascii="Arial;sans-serif" w:hAnsi="Arial;sans-serif"/>
          <w:b/>
          <w:color w:val="003768"/>
          <w:sz w:val="28"/>
        </w:rPr>
        <w:t>Note 18</w:t>
      </w:r>
      <w:r>
        <w:rPr>
          <w:color w:val="000000"/>
        </w:rPr>
        <w:t xml:space="preserve"> </w:t>
      </w:r>
      <w:r>
        <w:rPr>
          <w:rFonts w:ascii="Arial;sans-serif" w:hAnsi="Arial;sans-serif"/>
          <w:b/>
          <w:color w:val="000000"/>
          <w:sz w:val="28"/>
        </w:rPr>
        <w:t>Stock-Based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 Company had various stock-based awards outstanding which were issued to executives and other key employees. The Company recognizes the grant-date fair value of all stock-based awards to employees over their respective requisite service periods (generally equal to an award’s vesting period), net of estimated forfeitures. A stock-based award is considered vested for expense attribution purposes when the employee’s retention of the award is no longer contingent on providing subsequent service. For those awards that vest immediately upon retirement eligibility, the Company recognizes compensation cost immediately for retirement-eligible individuals or over the period from the grant date to the date retirement eligibility is achieved, if less than the stated vesting period.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long-term incentive program for awarding stock-based compensation includes a combination of restricted stock, stock appreciation rights (“SARs”), and performance shares of the Company’s common stock pursuant to the Hubbell Incorporated Incentive Award Plan (the “Award Plan”). Under the Award Plan, the Company may authorize up to 10.3 million shares of common stock to settle awards of restricted stock, performance shares, or SARs. The Company issues new shares to settle stock-based awards. During the three months ended March 31, 2026, the Company's grant of stock-based awards included restricted stock, SARs and performance shares. There were no material awards granted during the three months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Each of the compensation arrangements is discussed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768"/>
          <w:sz w:val="24"/>
        </w:rPr>
        <w:t xml:space="preserve">Restricted Stock </w:t>
      </w:r>
      <w:r>
        <w:rPr>
          <w:color w:val="000000"/>
        </w:rPr>
        <w:t>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issues various types of restricted stock, of which the restricted stock awards are considered outstanding at the time of grant, as the award holders are entitled to dividends and voting rights. Unvested restricted stock awards are considered participating securities when computing earnings per share. Restricted stock unit award holders are not entitled to dividends or voting rights until settlement. Restricted stock grants are not transferable and are subject to forfeiture in the event of the recipient's termination of employment prior to vesting.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Restricted Stock Awards Issued to Employees - Service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18"/>
        </w:rPr>
        <w:t xml:space="preserve">Restricted stock awards that vest based upon a service condition are expensed on a straight-line basis over the requisite service period. These awards generally </w:t>
      </w:r>
      <w:r>
        <w:rPr>
          <w:rFonts w:ascii="Arial;sans-serif" w:hAnsi="Arial;sans-serif"/>
          <w:b w:val="false"/>
          <w:color w:val="211D1E"/>
          <w:sz w:val="18"/>
        </w:rPr>
        <w:t>vest either in three equal installments on each of the first three anniversaries of the grant date or on the third-year anniversary of the grant date. The f</w:t>
      </w:r>
      <w:r>
        <w:rPr>
          <w:rFonts w:ascii="Arial;sans-serif" w:hAnsi="Arial;sans-serif"/>
          <w:b w:val="false"/>
          <w:color w:val="000000"/>
          <w:sz w:val="18"/>
        </w:rPr>
        <w:t>air value of these awards is measured by the average of the high and low trading prices of the Company’s common stock on the most recent trading day immediately preceding the grant date (“measurement date”).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February 2026, the Company granted 25,422 restricted stock awards with a fair value per share of $517.58.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Restricted Stock Units Issued to Employees - Service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18"/>
        </w:rPr>
        <w:t xml:space="preserve">Restricted stock units that vest based upon a service condition are expensed on a straight-line basis over the requisite service period. These awards generally </w:t>
      </w:r>
      <w:r>
        <w:rPr>
          <w:rFonts w:ascii="Arial;sans-serif" w:hAnsi="Arial;sans-serif"/>
          <w:b w:val="false"/>
          <w:color w:val="211D1E"/>
          <w:sz w:val="18"/>
        </w:rPr>
        <w:t>vest in three equal installments on each of the first three anniversaries of the grant date. The f</w:t>
      </w:r>
      <w:r>
        <w:rPr>
          <w:rFonts w:ascii="Arial;sans-serif" w:hAnsi="Arial;sans-serif"/>
          <w:b w:val="false"/>
          <w:color w:val="000000"/>
          <w:sz w:val="18"/>
        </w:rPr>
        <w:t>air value of these awards is measured by the average of the high and low trading prices of the Company’s common stock on the measurement date reduced by the present value of dividends expected to be paid during the requisite service period.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February 2026, the Company granted 1,013 restricted stock units with a fair value per share of $501.47.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768"/>
          <w:sz w:val="24"/>
        </w:rPr>
      </w:pPr>
      <w:r>
        <w:rPr>
          <w:rFonts w:ascii="Arial;sans-serif" w:hAnsi="Arial;sans-serif"/>
          <w:b/>
          <w:color w:val="003768"/>
          <w:sz w:val="24"/>
        </w:rPr>
        <w:t>Stock Appreciation Rights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SARs grant the holder the right to receive, once vested, the value in shares of the Company's common stock equal to the positive difference between the grant price, as determined using the mean of the high and low trading prices of the Company’s common stock on the measurement date, and the fair market value of the Company’s common stock on the date of exercise. This amount is payable in shares of the Company’s common stock. SARs vest and become exercisable in three equal installments during the first three years following the grant date and expire ten years from the grant date.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February 2026, the Company granted 50,881 SAR awards. The fair value of each SAR award was measured using the Black-Scholes option pricing model.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35</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weighted-average assumptions used in estimating the fair value of the SARs granted during February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2"/>
        <w:gridCol w:w="373"/>
        <w:gridCol w:w="344"/>
        <w:gridCol w:w="581"/>
        <w:gridCol w:w="581"/>
        <w:gridCol w:w="582"/>
        <w:gridCol w:w="475"/>
        <w:gridCol w:w="475"/>
        <w:gridCol w:w="477"/>
        <w:gridCol w:w="544"/>
        <w:gridCol w:w="544"/>
        <w:gridCol w:w="546"/>
        <w:gridCol w:w="413"/>
        <w:gridCol w:w="413"/>
        <w:gridCol w:w="414"/>
        <w:gridCol w:w="876"/>
        <w:gridCol w:w="876"/>
        <w:gridCol w:w="1249"/>
      </w:tblGrid>
      <w:tr>
        <w:trPr/>
        <w:tc>
          <w:tcPr>
            <w:tcW w:w="44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Grant Date</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Expected Dividend Yield</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Expected Volatility</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Risk Free Interest Rate</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Expected Term</w:t>
            </w:r>
          </w:p>
        </w:tc>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Avg. Grant Date Fair Value of 1 SAR</w:t>
            </w:r>
          </w:p>
        </w:tc>
      </w:tr>
      <w:tr>
        <w:trPr/>
        <w:tc>
          <w:tcPr>
            <w:tcW w:w="1159"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2026</w:t>
            </w:r>
          </w:p>
        </w:tc>
        <w:tc>
          <w:tcPr>
            <w:tcW w:w="1744"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1427"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w:t>
            </w:r>
          </w:p>
        </w:tc>
        <w:tc>
          <w:tcPr>
            <w:tcW w:w="1634"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w:t>
            </w:r>
          </w:p>
        </w:tc>
        <w:tc>
          <w:tcPr>
            <w:tcW w:w="1240"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 years</w:t>
            </w:r>
          </w:p>
        </w:tc>
        <w:tc>
          <w:tcPr>
            <w:tcW w:w="3001"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$126.81</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expected dividend yield was calculated by dividing the Company’s expected annual dividend by the average stock price for the past three months. Expected volatilities are based on historical volatilities of the Company’s stock for a period consistent with the expected term. The expected term of SARs granted was based upon historical exercise behavior of SARs. The risk-free interest rate is based on the U.S. Treasury yield curve in effect at the time of grant for the expected term of the award.</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3768"/>
          <w:sz w:val="24"/>
          <w:shd w:fill="FFFFFF" w:val="clear"/>
        </w:rPr>
      </w:pPr>
      <w:r>
        <w:rPr>
          <w:rFonts w:ascii="Arial;sans-serif" w:hAnsi="Arial;sans-serif"/>
          <w:b/>
          <w:color w:val="003768"/>
          <w:sz w:val="24"/>
          <w:shd w:fill="FFFFFF" w:val="clear"/>
        </w:rPr>
        <w:t>Performance Shares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Performance shares represent the right to receive a share of the Company’s common stock subject to the achievement of certain market or performance conditions established by the Company’s Compensation Committee and measured over a three-year period. Partial vesting in these awards may occur after separation from the Company for retirement eligible employees. Shares </w:t>
      </w:r>
      <w:r>
        <w:rPr>
          <w:rFonts w:ascii="Arial;sans-serif" w:hAnsi="Arial;sans-serif"/>
          <w:b w:val="false"/>
          <w:color w:val="000000"/>
          <w:sz w:val="18"/>
        </w:rPr>
        <w:t>are not vested until approved by the Company’s Compensation Committee.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Performance Shares - Market Condition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shd w:fill="FFFFFF" w:val="clear"/>
        </w:rPr>
        <w:t>In February 2026, the Company granted 6,831</w:t>
      </w:r>
      <w:r>
        <w:rPr>
          <w:color w:val="000000"/>
        </w:rPr>
        <w:t xml:space="preserve"> </w:t>
      </w:r>
      <w:r>
        <w:rPr>
          <w:rFonts w:ascii="Arial;sans-serif" w:hAnsi="Arial;sans-serif"/>
          <w:b w:val="false"/>
          <w:color w:val="000000"/>
          <w:sz w:val="18"/>
        </w:rPr>
        <w:t>p</w:t>
      </w:r>
      <w:r>
        <w:rPr>
          <w:rFonts w:ascii="Arial;sans-serif" w:hAnsi="Arial;sans-serif"/>
          <w:b w:val="false"/>
          <w:color w:val="000000"/>
          <w:sz w:val="18"/>
          <w:shd w:fill="FFFFFF" w:val="clear"/>
        </w:rPr>
        <w:t>erformance shares that will vest subject to a market condition and service condition through the performance period. The market condition associated with the awards is the Company's total shareholder return (</w:t>
      </w:r>
      <w:r>
        <w:rPr>
          <w:color w:val="000000"/>
        </w:rPr>
        <w:t>“</w:t>
      </w:r>
      <w:r>
        <w:rPr>
          <w:rFonts w:ascii="Arial;sans-serif" w:hAnsi="Arial;sans-serif"/>
          <w:b w:val="false"/>
          <w:color w:val="000000"/>
          <w:sz w:val="18"/>
          <w:shd w:fill="FFFFFF" w:val="clear"/>
        </w:rPr>
        <w:t>TSR</w:t>
      </w:r>
      <w:r>
        <w:rPr>
          <w:color w:val="000000"/>
        </w:rPr>
        <w:t>”</w:t>
      </w:r>
      <w:r>
        <w:rPr>
          <w:rFonts w:ascii="Arial;sans-serif" w:hAnsi="Arial;sans-serif"/>
          <w:b w:val="false"/>
          <w:color w:val="000000"/>
          <w:sz w:val="18"/>
          <w:shd w:fill="FFFFFF" w:val="clear"/>
        </w:rPr>
        <w:t>) compared to the TSR generated by the companies that comprise the S&amp;P Capital Goods 900 index over a three year performance per</w:t>
      </w:r>
      <w:r>
        <w:rPr>
          <w:rFonts w:ascii="Arial;sans-serif" w:hAnsi="Arial;sans-serif"/>
          <w:b w:val="false"/>
          <w:color w:val="000000"/>
          <w:sz w:val="18"/>
        </w:rPr>
        <w:t>iod.</w:t>
      </w:r>
      <w:r>
        <w:rPr>
          <w:color w:val="000000"/>
        </w:rPr>
        <w:t xml:space="preserve"> </w:t>
      </w:r>
      <w:r>
        <w:rPr>
          <w:rFonts w:ascii="Arial;sans-serif" w:hAnsi="Arial;sans-serif"/>
          <w:b w:val="false"/>
          <w:color w:val="000000"/>
          <w:sz w:val="18"/>
        </w:rPr>
        <w:t>Performance at target will result in vesting and issuance of the number of performance shares granted, equal to a 100% payout. Performance below or above target can result in issuance in the range of 0%-200% of the number of shares granted. Exp</w:t>
      </w:r>
      <w:r>
        <w:rPr>
          <w:rFonts w:ascii="Arial;sans-serif" w:hAnsi="Arial;sans-serif"/>
          <w:b w:val="false"/>
          <w:color w:val="000000"/>
          <w:sz w:val="18"/>
          <w:shd w:fill="FFFFFF" w:val="clear"/>
        </w:rPr>
        <w:t>ense is recognized irrespective of the market condition being achieved.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fair value of the performance share awards with a market condition for the 2026 grants was determined based upon a lattice model.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summarizes the related assumptions used to determine the fair values of the performance share awards with a market condition granted during February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5"/>
        <w:gridCol w:w="349"/>
        <w:gridCol w:w="304"/>
        <w:gridCol w:w="710"/>
        <w:gridCol w:w="710"/>
        <w:gridCol w:w="711"/>
        <w:gridCol w:w="359"/>
        <w:gridCol w:w="359"/>
        <w:gridCol w:w="360"/>
        <w:gridCol w:w="430"/>
        <w:gridCol w:w="430"/>
        <w:gridCol w:w="431"/>
        <w:gridCol w:w="467"/>
        <w:gridCol w:w="467"/>
        <w:gridCol w:w="469"/>
        <w:gridCol w:w="384"/>
        <w:gridCol w:w="384"/>
        <w:gridCol w:w="385"/>
        <w:gridCol w:w="603"/>
        <w:gridCol w:w="603"/>
        <w:gridCol w:w="865"/>
      </w:tblGrid>
      <w:tr>
        <w:trPr/>
        <w:tc>
          <w:tcPr>
            <w:tcW w:w="42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Grant Date</w:t>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Stock Price on Measurement Date</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Dividend Yield</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Expected Volatility</w:t>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Risk Free Interest Rate</w:t>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Expected Term</w:t>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Avg. Grant Date Fair Value</w:t>
            </w:r>
          </w:p>
        </w:tc>
      </w:tr>
      <w:tr>
        <w:trPr/>
        <w:tc>
          <w:tcPr>
            <w:tcW w:w="1078"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2026</w:t>
            </w:r>
          </w:p>
        </w:tc>
        <w:tc>
          <w:tcPr>
            <w:tcW w:w="2131"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$517.58</w:t>
            </w:r>
          </w:p>
        </w:tc>
        <w:tc>
          <w:tcPr>
            <w:tcW w:w="1078"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291"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1403"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w:t>
            </w:r>
          </w:p>
        </w:tc>
        <w:tc>
          <w:tcPr>
            <w:tcW w:w="1153"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 years</w:t>
            </w:r>
          </w:p>
        </w:tc>
        <w:tc>
          <w:tcPr>
            <w:tcW w:w="2071"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$689.16</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Expected volatilities are based on historical volatilities of the Company’s and members of the peer group's stock over the expected term of the award. The risk free interest rate is based on the U.S. Treasury yield curve in effect at the time of the grant for the expected term of the award.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shd w:fill="FFFFFF" w:val="clear"/>
        </w:rPr>
      </w:pPr>
      <w:r>
        <w:rPr>
          <w:rFonts w:ascii="Arial;sans-serif" w:hAnsi="Arial;sans-serif"/>
          <w:b/>
          <w:color w:val="000000"/>
          <w:sz w:val="18"/>
          <w:shd w:fill="FFFFFF" w:val="clear"/>
        </w:rPr>
        <w:t>Performance Shares - Performance Condition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February 2026, the Company granted 13,903 performance shares that will vest subject to an internal Company-based performance condition and service requirement.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Fifty percent of these performance shares granted will vest based on Hubbell’s compounded annual growth rate of Net sales as compared to that of the companies that comprise the S&amp;P Capital Goods 900 index. Fifty percent of these performance shares granted will vest based on achieved adjusted operating profit margin performance as compared to internal targets. Each of these performance conditions is measured over the same three-year performance period. The cumulative result of these performance conditions can result in a number of shares earned in the range of 0%-200% of the target number of shares granted.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fair value of the award is measured based upon the average of the high and low trading prices of the Company's common stock on the measurement date reduced by the present value of dividends expected to be paid during the requisite service period. The Company expenses these awards on a straight-line basis over the requisite service period and based on an assessment of the performance achieved to date. The weighted average fair value per share was $501.47 for the awards granted during February 2026.</w:t>
      </w:r>
    </w:p>
    <w:tbl>
      <w:tblPr>
        <w:tblW w:w="5452" w:type="dxa"/>
        <w:jc w:val="center"/>
        <w:tblInd w:w="0" w:type="dxa"/>
        <w:tblLayout w:type="fixed"/>
        <w:tblCellMar>
          <w:top w:w="28" w:type="dxa"/>
          <w:left w:w="28" w:type="dxa"/>
          <w:bottom w:w="28" w:type="dxa"/>
          <w:right w:w="28" w:type="dxa"/>
        </w:tblCellMar>
      </w:tblPr>
      <w:tblGrid>
        <w:gridCol w:w="476"/>
        <w:gridCol w:w="420"/>
        <w:gridCol w:w="423"/>
        <w:gridCol w:w="319"/>
        <w:gridCol w:w="319"/>
        <w:gridCol w:w="321"/>
        <w:gridCol w:w="304"/>
        <w:gridCol w:w="304"/>
        <w:gridCol w:w="304"/>
        <w:gridCol w:w="304"/>
        <w:gridCol w:w="304"/>
        <w:gridCol w:w="306"/>
        <w:gridCol w:w="210"/>
        <w:gridCol w:w="210"/>
        <w:gridCol w:w="210"/>
        <w:gridCol w:w="210"/>
        <w:gridCol w:w="210"/>
        <w:gridCol w:w="298"/>
      </w:tblGrid>
      <w:tr>
        <w:trPr/>
        <w:tc>
          <w:tcPr>
            <w:tcW w:w="4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Grant Date</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c>
          <w:tcPr>
            <w:tcW w:w="182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Period</w:t>
            </w:r>
          </w:p>
        </w:tc>
        <w:tc>
          <w:tcPr>
            <w:tcW w:w="134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Payout Range</w:t>
            </w:r>
          </w:p>
        </w:tc>
      </w:tr>
      <w:tr>
        <w:trPr/>
        <w:tc>
          <w:tcPr>
            <w:tcW w:w="1319"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2026</w:t>
            </w:r>
          </w:p>
        </w:tc>
        <w:tc>
          <w:tcPr>
            <w:tcW w:w="959" w:type="dxa"/>
            <w:gridSpan w:val="3"/>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$501.47</w:t>
            </w:r>
          </w:p>
        </w:tc>
        <w:tc>
          <w:tcPr>
            <w:tcW w:w="1826" w:type="dxa"/>
            <w:gridSpan w:val="6"/>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 2026 - Dec 2028</w:t>
            </w:r>
          </w:p>
        </w:tc>
        <w:tc>
          <w:tcPr>
            <w:tcW w:w="1348" w:type="dxa"/>
            <w:gridSpan w:val="6"/>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0%-200%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36</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12"/>
        <w:gridCol w:w="362"/>
        <w:gridCol w:w="364"/>
        <w:gridCol w:w="2653"/>
        <w:gridCol w:w="2653"/>
        <w:gridCol w:w="3761"/>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768"/>
                <w:sz w:val="36"/>
              </w:rPr>
            </w:pPr>
            <w:r>
              <w:rPr>
                <w:rFonts w:ascii="Arial;sans-serif" w:hAnsi="Arial;sans-serif"/>
                <w:b/>
                <w:color w:val="003768"/>
                <w:sz w:val="36"/>
              </w:rPr>
              <w:t>ITEM 2</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Management’s Discussion and Analysis of Financial Condition and Results of Operations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Executive Overview of the Business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Hubbell is a global manufacturer of quality electrical products and utility solutions for a broad range of customer and end market applications. We provide utility and electrical solutions that enable our customers to operate critical infrastructure reliably and efficiently, and we empower and energize communities through innovative solutions supporting energy infrastructure In Front of the Meter, on The Edge, and Behind the Meter. In Front of the Meter is where utilities transmit and distribute energy to their customers. The Edge connects utilities with owner/operators and allows energy and data to be distributed back and forth. Behind the Meter is where owners and operators of buildings, and other critical infrastructure consume energy. Products are either sourced complete, manufactured or assembled by subsidiaries in the United States, Canada, Puerto Rico, Mexico, China, the UK, Brazil, Australia, Spain, and the Republic of the Philippines. The Company also participates in joint ventures in Hong Kong and the Republic of the Philippines, and maintains offices in Singapore, Italy, China, India, Mexico, South Korea, Chile, and countries in the Middle East. The Company employed approximately 19,400 individuals worldwide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reporting segments consist of the Utility Solutions segment and Electrical Solutions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Results for the six months ended June 30, 2026 by segment are included under “Segment Results” within this Management’s Discussion and Analysis.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Company's long-term strategy is to serve its customers with reliable and innovative electrical and related infrastructure solutions with desired brands and high-quality service, delivered through a competitive cost structure; to complement organic revenue growth with acquisitions that enhance its product offerings; and to allocate capital effectively to create shareholder value.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strategy to complement organic revenue growth with acquisitions is focused on acquiring assets that extend our capabilities, expand our product offerings, and present opportunities to compete in core, adjacent or complementary markets. We believe our acquisition strategy also provides the opportunity to advance our revenue growth objectives during periods of weakness or inconsistency in our end-markets.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strategy to deliver products through a competitive cost structure has resulted in an ongoing program of restructuring and related activities. Our restructuring and related efforts include the consolidation of manufacturing and distribution facilities, and workforce actions, as well as streamlining and consolidating our back-office functions. The primary objectives of our restructuring and related activities are to optimize our manufacturing footprint, cost structure, and effectiveness and the efficiency of our workforce.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goal is to have pricing and productivity programs that offset the impact of cost increases as well as pay for investments in key growth areas. Our cost structure may be subject to material and production cost increases from inflationary periods within the U.S. and global economies, and from trade and other tensions. In particular, we have been subject to recent periods of inflationary pressure in the global economy and also subject to cost increases as a result of tariff and other material cost increases from trade actions taken by the United States and other countries, as well as increasing energy costs. Because material costs are approximately half of our cost of goods sold, volatility in this area can significantly impact profitability. Our pricing and productivity programs are intended to mitigate the risk to our operating margins related to these inflationary pressures and cost increases as a result of tariffs. For additional information, please refer to the risk factor titled; "Changes in U.S. and international trade policies may adversely impact our business and operating results; changes in U.S. trade policies could have a material adverse effect on us," which is contained in our Annual Report on Form 10-K for the fiscal year ended December 31,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sales are subject to market conditions that may cause customer demand for our products to be volatile. Product demand can be affected by fluctuations in domestic and international economic conditions, as well as currency fluctuations, commodity costs, and a variety of other factors. Although inflation has generally moderated since its high point in 2022, we continue to be affected by ongoing inflationary pressures. We could also be affected by additional inflationary pressures resulting from energy market and other disruptive conditions resulting from ongoing hostilities in the Middle East. Accordingly, there can be no assurance that we will be able to maintain our margins in response to further changes in inflationary pressures.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37</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 xml:space="preserve">Acquisition of NSI Industries </w:t>
      </w:r>
    </w:p>
    <w:p>
      <w:pPr>
        <w:pStyle w:val="TextBody"/>
        <w:bidi w:val="0"/>
        <w:spacing w:before="0" w:after="0"/>
        <w:jc w:val="both"/>
        <w:rPr/>
      </w:pPr>
      <w:r>
        <w:rPr/>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On June 9, 2026 (the "NSI Industries Closing Date"), the Company acquired all of the issued and outstanding equity of NSI Electrical Buyer, Inc., a Delaware corporation ("NSI Industries") for approximately $3.0 billion, net of cash acquired, subject to customary adjustments related to cash, indebtedness, working capital and transaction expenses. NSI Industries is a leading provider of electrical fittings, connectors, components and wire management products.</w:t>
      </w:r>
    </w:p>
    <w:p>
      <w:pPr>
        <w:pStyle w:val="TextBody"/>
        <w:bidi w:val="0"/>
        <w:spacing w:lineRule="auto" w:line="288" w:before="0" w:after="1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For additional information about the NSI acquisitions, refer to Note 2 - Business Acquisitions in the Notes to the Condensed Consolidated Financial Statements as well as the Company's current reports on Form 8-K filed on May 4, 2026 and June 9, 2026.</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38</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768"/>
          <w:sz w:val="24"/>
        </w:rPr>
      </w:pPr>
      <w:r>
        <w:rPr>
          <w:rFonts w:ascii="Arial;sans-serif" w:hAnsi="Arial;sans-serif"/>
          <w:b/>
          <w:color w:val="003768"/>
          <w:sz w:val="24"/>
        </w:rPr>
        <w:t xml:space="preserve">Results of Operations – Second Quarter of 2026 compared to the Second Quarter of 2025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The following is a discussion and analysis of our business, financial condition and results of operations as of and for the three and six months ended June 30, 2026 and 2025. This discussion and analysis should be read in conjunction with our Condensed Consolidated Financial Statements and notes thereto in Item 1 of this Quarterly Report on Form 10-Q (the </w:t>
      </w:r>
      <w:r>
        <w:rPr>
          <w:color w:val="000000"/>
        </w:rPr>
        <w:t>“</w:t>
      </w:r>
      <w:r>
        <w:rPr>
          <w:rFonts w:ascii="Arial;sans-serif" w:hAnsi="Arial;sans-serif"/>
          <w:b w:val="false"/>
          <w:color w:val="000000"/>
          <w:sz w:val="18"/>
          <w:shd w:fill="FFFFFF" w:val="clear"/>
        </w:rPr>
        <w:t>Condensed Financial Statements</w:t>
      </w:r>
      <w:r>
        <w:rPr>
          <w:color w:val="000000"/>
        </w:rPr>
        <w:t>”</w:t>
      </w:r>
      <w:r>
        <w:rPr>
          <w:rFonts w:ascii="Arial;sans-serif" w:hAnsi="Arial;sans-serif"/>
          <w:b w:val="false"/>
          <w:color w:val="000000"/>
          <w:sz w:val="18"/>
          <w:shd w:fill="FFFFFF" w:val="clear"/>
        </w:rPr>
        <w:t xml:space="preserve">), and the audited consolidated financial statements, accompanying notes and Management’s Discussion and Analysis of Financial Condition and Results of Operations contained in our Annual Report on Form 10-K for the fiscal year ended December 31, 2025. </w:t>
      </w:r>
    </w:p>
    <w:p>
      <w:pPr>
        <w:pStyle w:val="TextBody"/>
        <w:bidi w:val="0"/>
        <w:spacing w:lineRule="auto" w:line="288" w:before="0" w:after="0"/>
        <w:jc w:val="left"/>
        <w:rPr>
          <w:color w:val="003768"/>
        </w:rPr>
      </w:pPr>
      <w:r>
        <w:rPr>
          <w:color w:val="003768"/>
        </w:rPr>
        <w:t>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shd w:fill="FFFFFF" w:val="clear"/>
        </w:rPr>
        <w:t xml:space="preserve">Second quarter 2026 net sales were </w:t>
      </w:r>
      <w:r>
        <w:rPr>
          <w:rFonts w:ascii="Arial;sans-serif" w:hAnsi="Arial;sans-serif"/>
          <w:b w:val="false"/>
          <w:color w:val="000000"/>
          <w:sz w:val="18"/>
        </w:rPr>
        <w:t>$1,711.8 million</w:t>
      </w:r>
      <w:r>
        <w:rPr>
          <w:color w:val="000000"/>
          <w:shd w:fill="FFFFFF" w:val="clear"/>
        </w:rPr>
        <w:t xml:space="preserve"> </w:t>
      </w:r>
      <w:r>
        <w:rPr>
          <w:rFonts w:ascii="Arial;sans-serif" w:hAnsi="Arial;sans-serif"/>
          <w:b w:val="false"/>
          <w:color w:val="000000"/>
          <w:sz w:val="18"/>
          <w:shd w:fill="FFFFFF" w:val="clear"/>
        </w:rPr>
        <w:t>and increased by</w:t>
      </w:r>
      <w:r>
        <w:rPr>
          <w:color w:val="000000"/>
        </w:rPr>
        <w:t xml:space="preserve"> </w:t>
      </w:r>
      <w:r>
        <w:rPr>
          <w:rFonts w:ascii="Arial;sans-serif" w:hAnsi="Arial;sans-serif"/>
          <w:b w:val="false"/>
          <w:color w:val="000000"/>
          <w:sz w:val="18"/>
        </w:rPr>
        <w:t xml:space="preserve">15.3%, </w:t>
      </w:r>
      <w:r>
        <w:rPr>
          <w:rFonts w:ascii="Arial;sans-serif" w:hAnsi="Arial;sans-serif"/>
          <w:b w:val="false"/>
          <w:color w:val="000000"/>
          <w:sz w:val="18"/>
          <w:shd w:fill="FFFFFF" w:val="clear"/>
        </w:rPr>
        <w:t xml:space="preserve">driven by a </w:t>
      </w:r>
      <w:r>
        <w:rPr>
          <w:rFonts w:ascii="Arial;sans-serif" w:hAnsi="Arial;sans-serif"/>
          <w:b w:val="false"/>
          <w:color w:val="000000"/>
          <w:sz w:val="18"/>
        </w:rPr>
        <w:t>10.2%</w:t>
      </w:r>
      <w:r>
        <w:rPr>
          <w:color w:val="000000"/>
          <w:shd w:fill="FFFFFF" w:val="clear"/>
        </w:rPr>
        <w:t xml:space="preserve"> </w:t>
      </w:r>
      <w:r>
        <w:rPr>
          <w:rFonts w:ascii="Arial;sans-serif" w:hAnsi="Arial;sans-serif"/>
          <w:b w:val="false"/>
          <w:color w:val="000000"/>
          <w:sz w:val="18"/>
          <w:shd w:fill="FFFFFF" w:val="clear"/>
        </w:rPr>
        <w:t xml:space="preserve">increase in organic sales due to higher volume and favorable price realization. Acquisitions contributed to a </w:t>
      </w:r>
      <w:r>
        <w:rPr>
          <w:rFonts w:ascii="Arial;sans-serif" w:hAnsi="Arial;sans-serif"/>
          <w:b w:val="false"/>
          <w:color w:val="000000"/>
          <w:sz w:val="18"/>
        </w:rPr>
        <w:t>4.8%</w:t>
      </w:r>
      <w:r>
        <w:rPr>
          <w:color w:val="000000"/>
          <w:shd w:fill="FFFFFF" w:val="clear"/>
        </w:rPr>
        <w:t xml:space="preserve"> </w:t>
      </w:r>
      <w:r>
        <w:rPr>
          <w:rFonts w:ascii="Arial;sans-serif" w:hAnsi="Arial;sans-serif"/>
          <w:b w:val="false"/>
          <w:color w:val="000000"/>
          <w:sz w:val="18"/>
          <w:shd w:fill="FFFFFF" w:val="clear"/>
        </w:rPr>
        <w:t xml:space="preserve">increase in sales, driven by the acquisitions of NSI Industries in the second quarter of 2026, and the acquisitions of DMC and Nicor in the second half of 2025, while the impact of foreign exchange was a </w:t>
      </w:r>
      <w:r>
        <w:rPr>
          <w:rFonts w:ascii="Arial;sans-serif" w:hAnsi="Arial;sans-serif"/>
          <w:b w:val="false"/>
          <w:color w:val="000000"/>
          <w:sz w:val="18"/>
        </w:rPr>
        <w:t>0.3%</w:t>
      </w:r>
      <w:r>
        <w:rPr>
          <w:color w:val="000000"/>
          <w:shd w:fill="FFFFFF" w:val="clear"/>
        </w:rPr>
        <w:t xml:space="preserve"> </w:t>
      </w:r>
      <w:r>
        <w:rPr>
          <w:rFonts w:ascii="Arial;sans-serif" w:hAnsi="Arial;sans-serif"/>
          <w:b w:val="false"/>
          <w:color w:val="000000"/>
          <w:sz w:val="18"/>
          <w:shd w:fill="FFFFFF" w:val="clear"/>
        </w:rPr>
        <w:t xml:space="preserve">increase.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shd w:fill="FFFFFF" w:val="clear"/>
        </w:rPr>
        <w:t>Organic net sales in the Electrical Solutions segment grew b</w:t>
      </w:r>
      <w:r>
        <w:rPr>
          <w:rFonts w:ascii="Arial;sans-serif" w:hAnsi="Arial;sans-serif"/>
          <w:b w:val="false"/>
          <w:color w:val="000000"/>
          <w:sz w:val="18"/>
        </w:rPr>
        <w:t xml:space="preserve">y 18.3% in the second quarter of 2026 led by continued strength in the data center, light industrial and non-residential markets. In the Utility Solutions segment, organic net sales expanded 5.5% on strength in transmission and distribution markets.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shd w:fill="FFFFFF" w:val="clear"/>
        </w:rPr>
        <w:t xml:space="preserve">Operating margin in the second quarter of 2026 contracted by </w:t>
      </w:r>
      <w:r>
        <w:rPr>
          <w:rFonts w:ascii="Arial;sans-serif" w:hAnsi="Arial;sans-serif"/>
          <w:b w:val="false"/>
          <w:color w:val="000000"/>
          <w:sz w:val="18"/>
        </w:rPr>
        <w:t>230</w:t>
      </w:r>
      <w:r>
        <w:rPr>
          <w:color w:val="000000"/>
          <w:shd w:fill="FFFFFF" w:val="clear"/>
        </w:rPr>
        <w:t xml:space="preserve"> </w:t>
      </w:r>
      <w:r>
        <w:rPr>
          <w:rFonts w:ascii="Arial;sans-serif" w:hAnsi="Arial;sans-serif"/>
          <w:b w:val="false"/>
          <w:color w:val="000000"/>
          <w:sz w:val="18"/>
          <w:shd w:fill="FFFFFF" w:val="clear"/>
        </w:rPr>
        <w:t xml:space="preserve">basis points to </w:t>
      </w:r>
      <w:r>
        <w:rPr>
          <w:rFonts w:ascii="Arial;sans-serif" w:hAnsi="Arial;sans-serif"/>
          <w:b w:val="false"/>
          <w:color w:val="000000"/>
          <w:sz w:val="18"/>
        </w:rPr>
        <w:t>20.4%</w:t>
      </w:r>
      <w:r>
        <w:rPr>
          <w:color w:val="000000"/>
          <w:shd w:fill="FFFFFF" w:val="clear"/>
        </w:rPr>
        <w:t xml:space="preserve"> </w:t>
      </w:r>
      <w:r>
        <w:rPr>
          <w:rFonts w:ascii="Arial;sans-serif" w:hAnsi="Arial;sans-serif"/>
          <w:b w:val="false"/>
          <w:color w:val="000000"/>
          <w:sz w:val="18"/>
          <w:shd w:fill="FFFFFF" w:val="clear"/>
        </w:rPr>
        <w:t xml:space="preserve">and includes the effect of amortization of acquisition-related intangibles and transaction, integration and separation costs. Adjusted operating margin, which excludes amortization of acquisition-related intangibles and transaction, integration and separation costs, was </w:t>
      </w:r>
      <w:r>
        <w:rPr>
          <w:rFonts w:ascii="Arial;sans-serif" w:hAnsi="Arial;sans-serif"/>
          <w:b w:val="false"/>
          <w:color w:val="000000"/>
          <w:sz w:val="18"/>
        </w:rPr>
        <w:t>23.9%</w:t>
      </w:r>
      <w:r>
        <w:rPr>
          <w:color w:val="000000"/>
          <w:shd w:fill="FFFFFF" w:val="clear"/>
        </w:rPr>
        <w:t xml:space="preserve"> </w:t>
      </w:r>
      <w:r>
        <w:rPr>
          <w:rFonts w:ascii="Arial;sans-serif" w:hAnsi="Arial;sans-serif"/>
          <w:b w:val="false"/>
          <w:color w:val="000000"/>
          <w:sz w:val="18"/>
          <w:shd w:fill="FFFFFF" w:val="clear"/>
        </w:rPr>
        <w:t xml:space="preserve">and contracted by </w:t>
      </w:r>
      <w:r>
        <w:rPr>
          <w:rFonts w:ascii="Arial;sans-serif" w:hAnsi="Arial;sans-serif"/>
          <w:b w:val="false"/>
          <w:color w:val="000000"/>
          <w:sz w:val="18"/>
        </w:rPr>
        <w:t>50</w:t>
      </w:r>
      <w:r>
        <w:rPr>
          <w:color w:val="000000"/>
          <w:shd w:fill="FFFFFF" w:val="clear"/>
        </w:rPr>
        <w:t xml:space="preserve"> </w:t>
      </w:r>
      <w:r>
        <w:rPr>
          <w:rFonts w:ascii="Arial;sans-serif" w:hAnsi="Arial;sans-serif"/>
          <w:b w:val="false"/>
          <w:color w:val="000000"/>
          <w:sz w:val="18"/>
          <w:shd w:fill="FFFFFF" w:val="clear"/>
        </w:rPr>
        <w:t>basis points. That result includes margin expansion in the quarter, primarily driven by favorable price realization, benefits from operational productivity, and higher unit volume, and the impact of acquisitions, that was more than offset by margin contraction from material and other cost inflation, including tariff expense. See the further discussion within Segment Results below.</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18"/>
          <w:shd w:fill="FFFFFF" w:val="clear"/>
        </w:rPr>
      </w:pPr>
      <w:r>
        <w:rPr>
          <w:rFonts w:ascii="Arial;sans-serif" w:hAnsi="Arial;sans-serif"/>
          <w:b/>
          <w:color w:val="000000"/>
          <w:sz w:val="18"/>
          <w:shd w:fill="FFFFFF" w:val="clear"/>
        </w:rPr>
        <w:t>Global Trade Policy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February 20, 2026, the U.S. Supreme Court ruled that tariffs imposed under the International Emergency Economic Power Act ("IEEPA") exceeded presidential authority and were therefore invalid. The IEEPA tariffs were immediately replaced with tariffs under alternative statutory authority, although the scope and duration of future tariffs remain uncertain.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On April 20, 2026, the U.S. Customs and Border Protection (CBP) launched a system to process IEEPA tariff refund claims and the Company submitted claims for IEEPA tariffs that have been previously paid. The Company has elected to use a gain contingency model to account for recoveries of previously paid IEEPA tariffs, in accordance with ASC 450-30 "Gain Contingencies". Under this model, a gain contingency is not recognized in the financial statements until the gain is realized or realizable. Tariff recoveries are reflected as a reduction of cost of goods sold for inventory that has already been sold. Subsequent to June 30, 2026, the Company received refunds for IEEPA tariffs previously paid totaling approximately $30 million, including an immaterial amount of interest. As of June 30, 2026 these amounts were not deemed to be realized or realizable and, accordingly, these amounts were not recognized in the condensed consolidated financial statements for the period ending June 30, 2026.</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39</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SUMMARY OF CONDENSED CONSOLIDATED RESULTS (IN MILLIONS, EXCEPT PER SHARE DATA):</w:t>
      </w:r>
      <w:r>
        <w:rPr>
          <w:color w:val="000000"/>
        </w:rPr>
        <w:t> </w:t>
      </w:r>
    </w:p>
    <w:tbl>
      <w:tblPr>
        <w:tblW w:w="10145" w:type="dxa"/>
        <w:jc w:val="left"/>
        <w:tblInd w:w="0" w:type="dxa"/>
        <w:tblLayout w:type="fixed"/>
        <w:tblCellMar>
          <w:top w:w="28" w:type="dxa"/>
          <w:left w:w="28" w:type="dxa"/>
          <w:bottom w:w="28" w:type="dxa"/>
          <w:right w:w="28" w:type="dxa"/>
        </w:tblCellMar>
      </w:tblPr>
      <w:tblGrid>
        <w:gridCol w:w="1665"/>
        <w:gridCol w:w="1466"/>
        <w:gridCol w:w="1473"/>
        <w:gridCol w:w="211"/>
        <w:gridCol w:w="766"/>
        <w:gridCol w:w="109"/>
        <w:gridCol w:w="297"/>
        <w:gridCol w:w="297"/>
        <w:gridCol w:w="741"/>
        <w:gridCol w:w="211"/>
        <w:gridCol w:w="766"/>
        <w:gridCol w:w="109"/>
        <w:gridCol w:w="297"/>
        <w:gridCol w:w="297"/>
        <w:gridCol w:w="741"/>
        <w:gridCol w:w="109"/>
        <w:gridCol w:w="109"/>
        <w:gridCol w:w="109"/>
        <w:gridCol w:w="109"/>
        <w:gridCol w:w="109"/>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3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of Net sales</w:t>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33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1,711.8 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1,484.3 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97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1,098.8 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74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613.0 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74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74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&amp; administrative (“S&amp;A”) expense</w:t>
            </w:r>
          </w:p>
        </w:tc>
        <w:tc>
          <w:tcPr>
            <w:tcW w:w="97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74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348.6 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74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74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97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74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w:t>
            </w:r>
          </w:p>
        </w:tc>
        <w:tc>
          <w:tcPr>
            <w:tcW w:w="97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74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Hubbell Incorporated</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240.4 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74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74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Earnings allocated to participating securities</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available to common shareholders</w:t>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number of diluted shares outstanding</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SHARE </w:t>
            </w:r>
          </w:p>
        </w:tc>
        <w:tc>
          <w:tcPr>
            <w:tcW w:w="21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0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bottom w:val="single" w:sz="4" w:space="0" w:color="000000"/>
            </w:tcBorders>
            <w:shd w:fill="C5CFE1"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09"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18"/>
        </w:rPr>
        <w:t>In the following discussion of results of operations, we refer to “adjusted</w:t>
      </w:r>
      <w:r>
        <w:rPr>
          <w:color w:val="000000"/>
        </w:rPr>
        <w:t xml:space="preserve">” </w:t>
      </w:r>
      <w:r>
        <w:rPr>
          <w:rFonts w:ascii="Arial;sans-serif" w:hAnsi="Arial;sans-serif"/>
          <w:b w:val="false"/>
          <w:color w:val="000000"/>
          <w:sz w:val="18"/>
        </w:rPr>
        <w:t xml:space="preserve">operating measures. We believe those adjusted measures, which exclude the impact of certain costs, gains and losses, may provide investors with useful information regarding our underlying performance from period to period and allow investors to understand our results of operations without regard to items that, in management's judgment, significantly affect the comparability of operating results, or we do not consider a component of our core operating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Significant items impacting comparability comprise the following: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Transaction, integration and separation costs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effect that acquisitions and divestitures may have on our results can fluctuate significantly based on the timing, size and number of transactions, and therefore result in significant volatility in the costs to complete transactions and to integrate or separate the businesses.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Transaction costs are primarily professional services and other fees incurred to complete the transactions recognized within operating income, as well as $7.2 million of bridge financing costs in connection with the transactions recognized within interest expense. Integration and separation costs are the internal and external incremental costs directly relating to these activities for the acquired or divested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acquisition and integration of NSI, DMC Power, and the acquisitions and disposition completed by the Company in the fourth quarter of 2023 resulted in a significant increase in transaction, integration and separation costs. As a result, we believe excluding such costs relating to these transactions provides useful and more comparable information for investors to better assess our operating performance from period to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Gains or losses on disposition of a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Certain of the Company's adjusted measures exclude these gains or losses because we believe they enhance management's and investors' ability to analyze underlying business performance and facilitate comparisons of our financial results over multiple periods. In the second quarter of 2025 the Company recognized a $0.4 million pre-tax loss on the disposition of a product line in the Electrical Solutions segment. The loss and the related income tax expense are excluded from our adjusted operating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Amortization of intangible assets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Adjusted operating measures also exclude non-cash amortization of all intangible assets associated with our business acquisitions, including inventory step-up amortization associated with those acquisitions. The intangible assets associated with our business acquisitions arise from the allocation of the purchase price using the acquisition method of accounting in accordance with Accounting Standards Codification 805, “Business Combinations.” These assets consist primarily of customer relationships, developed technology, trademarks and tradenames, and patents, as reported in Note 6 – Goodwill and Other Intangible Assets, under the heading “Total Definite-Lived Intangibles,” within the Company’s audited Consolidated Financial Statements set forth in its Annual Report on Form 10-K for the fiscal year ended December 31,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40</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believes that the exclusion of these non-cash expenses (i) enhances management’s and investors’ ability to analyze underlying business performance, (ii) facilitates comparisons of our financial results over multiple periods, and (iii) provides more relevant comparisons of our results with the results of other companies as the amortization expense associated with these assets may fluctuate significantly from period to period based on the timing, size, nature, and number of acquisitions. Although we exclude amortization of these acquired intangible assets and inventory step-up from our non-GAAP results, we believe that it is important for investors to understand that revenue generated, in part, from such intangibles is included within revenue in determining adjusted net income attributable to Hubbell Incorporated.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Adjusted results also exclude the income tax effects of the above adjustments which are calculated using the statutory tax rate, taking into consideration the nature of the item and the relevant taxing jurisdiction, unless otherwise noted.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The Company excludes these non-core items because we believe it enhances management</w:t>
      </w:r>
      <w:r>
        <w:rPr>
          <w:color w:val="000000"/>
        </w:rPr>
        <w:t>’</w:t>
      </w:r>
      <w:r>
        <w:rPr>
          <w:rFonts w:ascii="Arial;sans-serif" w:hAnsi="Arial;sans-serif"/>
          <w:b w:val="false"/>
          <w:color w:val="000000"/>
          <w:sz w:val="18"/>
          <w:shd w:fill="FFFFFF" w:val="clear"/>
        </w:rPr>
        <w:t>s and investors</w:t>
      </w:r>
      <w:r>
        <w:rPr>
          <w:color w:val="000000"/>
        </w:rPr>
        <w:t>’</w:t>
      </w:r>
      <w:r>
        <w:rPr>
          <w:color w:val="000000"/>
          <w:shd w:fill="FFFFFF" w:val="clear"/>
        </w:rPr>
        <w:t xml:space="preserve"> </w:t>
      </w:r>
      <w:r>
        <w:rPr>
          <w:rFonts w:ascii="Arial;sans-serif" w:hAnsi="Arial;sans-serif"/>
          <w:b w:val="false"/>
          <w:color w:val="000000"/>
          <w:sz w:val="18"/>
          <w:shd w:fill="FFFFFF" w:val="clear"/>
        </w:rPr>
        <w:t xml:space="preserve">ability to analyze underlying business performance and facilitates comparisons of our financial results over multiple periods. Refer to the reconciliation of non-GAAP measures presented below and Note 2 – Business Acquisitions to the Condensed Consolidated Financial Statements 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Organic net sales (or organic net sales growth), a non-GAAP measure, represents Net sales according to U.S. GAAP, less Net sales from acquisitions and divestitures during the first twelve months of ownership or divestiture, respectively, less the effect of fluctuations in Net sales from foreign currency exchange. The period-over-period effect of fluctuations in Net sales from foreign currency exchange is calculated as the difference between local currency Net sales of the prior period translated at the current period exchange rate as compared to the same local currency Net sales translated at the prior period exchange rate. We believe this measure provides management and investors with a more complete understanding of the underlying operating results and trends of established, ongoing operations by excluding the effect of acquisitions, dispositions and foreign currency as these activities can obscure underlying trends. When comparing Net sales growth between periods, excluding the effects of acquisitions, business dispositions and currency exchange rates, those effects are different when comparing results for different periods. For example, because Net sales from acquisitions are considered inorganic from the date we complete an acquisition through the end of the first year following the acquisition, Net sales from such acquisitions are reflected as organic net sales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41</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 are limitations to the use of non-GAAP measures. Non-GAAP measures do not present complete financial results. We compensate for this limitation by providing a reconciliation between our non-GAAP financial measures and the respective most directly comparable financial measure calculated and presented in accordance with GAAP. Because non-GAAP financial measures are not standardized, it may not be possible to compare these financial measures with other companies’ non-GAAP financial measures having the same or similar names. These financial measures should not be considered in isolation from, as substitutes for, or alternative measures of, reported GAAP financial results, and should be viewed in conjunction with the most comparable GAAP financial measures and the provided reconciliations thereto. We believe, however, that these non-GAAP financial measures, when viewed together with our GAAP results and related reconciliations, provide a more complete understanding of our business. We strongly encourage investors to review our condensed consolidated financial statements and publicly filed reports in their entirety and not rely on any single financial measure.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reconciles Adjusted operating income, a non-GAAP measure, to Operating income, the directly comparable GAAP financial measure (in millions):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35"/>
        <w:gridCol w:w="1033"/>
        <w:gridCol w:w="1039"/>
        <w:gridCol w:w="289"/>
        <w:gridCol w:w="846"/>
        <w:gridCol w:w="149"/>
        <w:gridCol w:w="331"/>
        <w:gridCol w:w="804"/>
        <w:gridCol w:w="426"/>
        <w:gridCol w:w="289"/>
        <w:gridCol w:w="846"/>
        <w:gridCol w:w="149"/>
        <w:gridCol w:w="331"/>
        <w:gridCol w:w="804"/>
        <w:gridCol w:w="426"/>
        <w:gridCol w:w="109"/>
        <w:gridCol w:w="109"/>
        <w:gridCol w:w="109"/>
        <w:gridCol w:w="109"/>
        <w:gridCol w:w="109"/>
        <w:gridCol w:w="163"/>
      </w:tblGrid>
      <w:tr>
        <w:trPr/>
        <w:tc>
          <w:tcPr>
            <w:tcW w:w="173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5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of Net sales</w:t>
            </w:r>
          </w:p>
        </w:tc>
        <w:tc>
          <w:tcPr>
            <w:tcW w:w="12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5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(GAAP measure)</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348.6 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336.3 </w:t>
            </w:r>
          </w:p>
        </w:tc>
        <w:tc>
          <w:tcPr>
            <w:tcW w:w="14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42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integration &amp; separation costs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3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4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 (non-GAAP measure)</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362.2 </w:t>
            </w:r>
          </w:p>
        </w:tc>
        <w:tc>
          <w:tcPr>
            <w:tcW w:w="14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4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The following table reconciles Adjusted net income attributable to Hubbell Incorporated, Adjusted net income available to common shareholders, and the diluted per share amounts thereof, each a non-GAAP measure, to the directly comparable GAAP financial measures (in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15"/>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5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Diluted Per Share</w:t>
            </w:r>
          </w:p>
        </w:tc>
        <w:tc>
          <w:tcPr>
            <w:tcW w:w="12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5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Diluted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Hubbell Incorporated (GAAP measure)</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240.4 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4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42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integration &amp; separation costs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4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42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disposition of business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4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426"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270.5 </w:t>
            </w:r>
          </w:p>
        </w:tc>
        <w:tc>
          <w:tcPr>
            <w:tcW w:w="14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42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 effects</w:t>
            </w:r>
            <w:r>
              <w:rPr>
                <w:rFonts w:ascii="Arial;sans-serif" w:hAnsi="Arial;sans-serif"/>
                <w:b w:val="false"/>
                <w:color w:val="000000"/>
                <w:sz w:val="12"/>
              </w:rPr>
              <w:t>(1)</w:t>
            </w:r>
            <w:r>
              <w:rPr>
                <w:color w:val="000000"/>
              </w:rPr>
              <w:t xml:space="preserve"> </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49"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426" w:type="dxa"/>
            <w:tcBorders>
              <w:top w:val="single" w:sz="4" w:space="0" w:color="FFFFF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attributable to Hubbell Incorporated (non-GAAP measure)</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264.3 </w:t>
            </w:r>
          </w:p>
        </w:tc>
        <w:tc>
          <w:tcPr>
            <w:tcW w:w="14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42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Earnings allocated to participating securities</w:t>
            </w:r>
          </w:p>
        </w:tc>
        <w:tc>
          <w:tcPr>
            <w:tcW w:w="113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4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42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available to common shareholders (non-GAAP measure)</w:t>
            </w:r>
          </w:p>
        </w:tc>
        <w:tc>
          <w:tcPr>
            <w:tcW w:w="28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293.3 </w:t>
            </w:r>
          </w:p>
        </w:tc>
        <w:tc>
          <w:tcPr>
            <w:tcW w:w="14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42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263.8 </w:t>
            </w:r>
          </w:p>
        </w:tc>
        <w:tc>
          <w:tcPr>
            <w:tcW w:w="14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426"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The income tax effects are calculated using the statutory tax rate, taking into consideration the nature of the item and the relevant taxing jurisdiction, unless otherwise noted.</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42</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organic net sales to the directly comparable GAAP financial measure (in millions and percentage change):</w:t>
      </w:r>
    </w:p>
    <w:p>
      <w:pPr>
        <w:pStyle w:val="TextBody"/>
        <w:bidi w:val="0"/>
        <w:spacing w:before="0" w:after="0"/>
        <w:jc w:val="left"/>
        <w:rPr/>
      </w:pPr>
      <w:r>
        <w:rPr/>
      </w:r>
    </w:p>
    <w:tbl>
      <w:tblPr>
        <w:tblW w:w="8935" w:type="dxa"/>
        <w:jc w:val="left"/>
        <w:tblInd w:w="0" w:type="dxa"/>
        <w:tblLayout w:type="fixed"/>
        <w:tblCellMar>
          <w:top w:w="28" w:type="dxa"/>
          <w:left w:w="28" w:type="dxa"/>
          <w:bottom w:w="28" w:type="dxa"/>
          <w:right w:w="28" w:type="dxa"/>
        </w:tblCellMar>
      </w:tblPr>
      <w:tblGrid>
        <w:gridCol w:w="1702"/>
        <w:gridCol w:w="1501"/>
        <w:gridCol w:w="1506"/>
        <w:gridCol w:w="228"/>
        <w:gridCol w:w="668"/>
        <w:gridCol w:w="118"/>
        <w:gridCol w:w="359"/>
        <w:gridCol w:w="359"/>
        <w:gridCol w:w="361"/>
        <w:gridCol w:w="228"/>
        <w:gridCol w:w="554"/>
        <w:gridCol w:w="118"/>
        <w:gridCol w:w="359"/>
        <w:gridCol w:w="359"/>
        <w:gridCol w:w="361"/>
        <w:gridCol w:w="154"/>
      </w:tblGrid>
      <w:tr>
        <w:trPr/>
        <w:tc>
          <w:tcPr>
            <w:tcW w:w="170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0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c>
          <w:tcPr>
            <w:tcW w:w="9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growth (decline) (GAAP measure)</w:t>
            </w:r>
          </w:p>
        </w:tc>
        <w:tc>
          <w:tcPr>
            <w:tcW w:w="22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36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118"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6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acquisitions</w:t>
            </w:r>
          </w:p>
        </w:tc>
        <w:tc>
          <w:tcPr>
            <w:tcW w:w="89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divestitures</w:t>
            </w:r>
          </w:p>
        </w:tc>
        <w:tc>
          <w:tcPr>
            <w:tcW w:w="89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exchange</w:t>
            </w:r>
          </w:p>
        </w:tc>
        <w:tc>
          <w:tcPr>
            <w:tcW w:w="89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sales growth (decline) (non-GAAP measure)</w:t>
            </w:r>
          </w:p>
        </w:tc>
        <w:tc>
          <w:tcPr>
            <w:tcW w:w="22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151.3 </w:t>
            </w:r>
          </w:p>
        </w:tc>
        <w:tc>
          <w:tcPr>
            <w:tcW w:w="11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36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1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6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768"/>
          <w:sz w:val="24"/>
        </w:rPr>
      </w:pPr>
      <w:r>
        <w:rPr>
          <w:rFonts w:ascii="Arial;sans-serif" w:hAnsi="Arial;sans-serif"/>
          <w:b/>
          <w:color w:val="003768"/>
          <w:sz w:val="24"/>
        </w:rPr>
        <w:t>Net Sales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Net sales of $1,711.8 million in the second quarter of 2026 increased by $227.5 million compared to the second quarter of 2025. </w:t>
      </w:r>
      <w:r>
        <w:rPr>
          <w:rFonts w:ascii="Arial;sans-serif" w:hAnsi="Arial;sans-serif"/>
          <w:b w:val="false"/>
          <w:color w:val="000000"/>
          <w:sz w:val="18"/>
          <w:shd w:fill="FFFFFF" w:val="clear"/>
        </w:rPr>
        <w:t xml:space="preserve">Organic net sales increased by 10.2% driven by a high single digit percentage increase in unit volume and a mid single digit percentage increase in price. Net sales increased </w:t>
      </w:r>
      <w:r>
        <w:rPr>
          <w:rFonts w:ascii="Arial;sans-serif" w:hAnsi="Arial;sans-serif"/>
          <w:b w:val="false"/>
          <w:color w:val="000000"/>
          <w:sz w:val="18"/>
        </w:rPr>
        <w:t>4.8%</w:t>
      </w:r>
      <w:r>
        <w:rPr>
          <w:color w:val="000000"/>
          <w:shd w:fill="FFFFFF" w:val="clear"/>
        </w:rPr>
        <w:t xml:space="preserve"> </w:t>
      </w:r>
      <w:r>
        <w:rPr>
          <w:rFonts w:ascii="Arial;sans-serif" w:hAnsi="Arial;sans-serif"/>
          <w:b w:val="false"/>
          <w:color w:val="000000"/>
          <w:sz w:val="18"/>
          <w:shd w:fill="FFFFFF" w:val="clear"/>
        </w:rPr>
        <w:t xml:space="preserve">due to acquisitions, while foreign exchange resulted in a </w:t>
      </w:r>
      <w:r>
        <w:rPr>
          <w:rFonts w:ascii="Arial;sans-serif" w:hAnsi="Arial;sans-serif"/>
          <w:b w:val="false"/>
          <w:color w:val="000000"/>
          <w:sz w:val="18"/>
        </w:rPr>
        <w:t>0.3%</w:t>
      </w:r>
      <w:r>
        <w:rPr>
          <w:color w:val="000000"/>
          <w:shd w:fill="FFFFFF" w:val="clear"/>
        </w:rPr>
        <w:t xml:space="preserve"> </w:t>
      </w:r>
      <w:r>
        <w:rPr>
          <w:rFonts w:ascii="Arial;sans-serif" w:hAnsi="Arial;sans-serif"/>
          <w:b w:val="false"/>
          <w:color w:val="000000"/>
          <w:sz w:val="18"/>
          <w:shd w:fill="FFFFFF" w:val="clear"/>
        </w:rPr>
        <w:t xml:space="preserve">increase in net sales. These changes are discussed in more detail in the Segment Results section below.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shd w:fill="FFFFFF" w:val="clear"/>
        </w:rPr>
      </w:pPr>
      <w:r>
        <w:rPr>
          <w:rFonts w:ascii="Arial;sans-serif" w:hAnsi="Arial;sans-serif"/>
          <w:b/>
          <w:color w:val="003768"/>
          <w:sz w:val="24"/>
          <w:shd w:fill="FFFFFF" w:val="clear"/>
        </w:rPr>
        <w:t>Cost of Goods Sold and Gross Profit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As a percentage of Net sales, cost of goods sold increased by 140 basis points to 64.2% in the second quarter of 2026, resulting in gross profit margin contracting to 35.8%. </w:t>
      </w:r>
      <w:r>
        <w:rPr>
          <w:rFonts w:ascii="Arial;sans-serif" w:hAnsi="Arial;sans-serif"/>
          <w:b w:val="false"/>
          <w:color w:val="000000"/>
          <w:sz w:val="18"/>
          <w:shd w:fill="FFFFFF" w:val="clear"/>
        </w:rPr>
        <w:t>Approximately five percentage points of gross profit margin expansion were driven by favorable price realization, improved operational productivity, higher volume and the impact of acquisitions, more than offset by six percentage points of gross profit margin contraction due to material and other cost inflation, including tariff expense and higher intangible amortization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shd w:fill="FFFFFF" w:val="clear"/>
        </w:rPr>
      </w:pPr>
      <w:r>
        <w:rPr>
          <w:rFonts w:ascii="Arial;sans-serif" w:hAnsi="Arial;sans-serif"/>
          <w:b/>
          <w:color w:val="003768"/>
          <w:sz w:val="24"/>
          <w:shd w:fill="FFFFFF" w:val="clear"/>
        </w:rPr>
        <w:t>Selling &amp; Administrative Expenses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S&amp;A expense in the second quarter of 2026 was $264.4 million and increased by $48.6 million or 22.5% compared to the prior year period. </w:t>
      </w:r>
      <w:r>
        <w:rPr>
          <w:rFonts w:ascii="Arial;sans-serif" w:hAnsi="Arial;sans-serif"/>
          <w:b w:val="false"/>
          <w:color w:val="000000"/>
          <w:sz w:val="18"/>
          <w:shd w:fill="FFFFFF" w:val="clear"/>
        </w:rPr>
        <w:t xml:space="preserve">This increase was driven by higher transaction and integration costs, acquisition-related intangible amortization expense, and the selling and administration expense added by our acquisitions, as well as higher employee compensation and benefits, in the current year compared to the prior year period. </w:t>
      </w:r>
      <w:r>
        <w:rPr>
          <w:rFonts w:ascii="Arial;sans-serif" w:hAnsi="Arial;sans-serif"/>
          <w:b w:val="false"/>
          <w:color w:val="000000"/>
          <w:sz w:val="18"/>
        </w:rPr>
        <w:t xml:space="preserve">S&amp;A expense as a percentage of Net sales was 15.4% in the second quarter of 2026, compared to 14.5% in the second quarter of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Total Other Expense</w:t>
      </w:r>
    </w:p>
    <w:p>
      <w:pPr>
        <w:pStyle w:val="TextBody"/>
        <w:bidi w:val="0"/>
        <w:spacing w:lineRule="auto" w:line="288" w:before="0" w:after="0"/>
        <w:jc w:val="both"/>
        <w:rPr>
          <w:color w:val="003768"/>
        </w:rPr>
      </w:pPr>
      <w:r>
        <w:rPr>
          <w:color w:val="003768"/>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Total other expense increased by $23.8 million in the second quarter of 2026 to $44.9 million, primarily due to higher net interest expense of $24.6 million, due to higher average outstanding debt in the second quarter of 2026, primarily driven by additional debt issued to fund the NSI Industries acquisition in June 2026 and to fund the DMC acquisition in September 2025. Net interest expense in the second quarter of 2026 also includes $7.2 million of bridge financing cost relating to the NSI Industries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shd w:fill="FFFFFF" w:val="clear"/>
        </w:rPr>
      </w:pPr>
      <w:r>
        <w:rPr>
          <w:rFonts w:ascii="Arial;sans-serif" w:hAnsi="Arial;sans-serif"/>
          <w:b/>
          <w:color w:val="003768"/>
          <w:sz w:val="24"/>
          <w:shd w:fill="FFFFFF" w:val="clear"/>
        </w:rPr>
        <w:t>Income Taxes</w:t>
      </w:r>
    </w:p>
    <w:p>
      <w:pPr>
        <w:pStyle w:val="TextBody"/>
        <w:bidi w:val="0"/>
        <w:spacing w:lineRule="auto" w:line="288" w:before="0" w:after="0"/>
        <w:jc w:val="both"/>
        <w:rPr>
          <w:color w:val="003768"/>
        </w:rPr>
      </w:pPr>
      <w:r>
        <w:rPr>
          <w:color w:val="003768"/>
        </w:rPr>
        <w:t> </w:t>
      </w:r>
    </w:p>
    <w:p>
      <w:pPr>
        <w:pStyle w:val="TextBody"/>
        <w:bidi w:val="0"/>
        <w:spacing w:lineRule="auto" w:line="268" w:before="0" w:after="0"/>
        <w:jc w:val="both"/>
        <w:rPr/>
      </w:pPr>
      <w:r>
        <w:rPr>
          <w:rFonts w:ascii="Arial;sans-serif" w:hAnsi="Arial;sans-serif"/>
          <w:b w:val="false"/>
          <w:color w:val="000000"/>
          <w:sz w:val="18"/>
        </w:rPr>
        <w:t xml:space="preserve">The effective tax rate in the second quarter of 2026 decreased to 20.3% as compared to 22.1% in the second quarter of 2025, primarily </w:t>
      </w:r>
      <w:r>
        <w:rPr>
          <w:rFonts w:ascii="Arial;sans-serif" w:hAnsi="Arial;sans-serif"/>
          <w:b w:val="false"/>
          <w:color w:val="000000"/>
          <w:sz w:val="18"/>
          <w:shd w:fill="FFFFFF" w:val="clear"/>
        </w:rPr>
        <w:t>due to the release of a valuation allowance and the recognition of benefits associated with an advance energy project credit. These benefits more than offset the unfavorable impact of transaction-related costs in the second quarter of 2026 when compared to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 xml:space="preserve">Net Income Attributable to Hubbell Incorporated and Earnings Per Diluted Share </w:t>
      </w:r>
    </w:p>
    <w:p>
      <w:pPr>
        <w:pStyle w:val="TextBody"/>
        <w:bidi w:val="0"/>
        <w:spacing w:lineRule="auto" w:line="288" w:before="0" w:after="0"/>
        <w:jc w:val="both"/>
        <w:rPr>
          <w:color w:val="003768"/>
        </w:rPr>
      </w:pPr>
      <w:r>
        <w:rPr>
          <w:color w:val="003768"/>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income attributable to Hubbell Incorporated was $240.4 million in the second quarter of 2026 and decreased 1.6% as compared to the same period of the prior year, reflecting the factors described above. As a result, earnings per diluted share in the second quarter of 2026 decreased 0.9% as compared to the second quarter of 2025. Adjusted net income attributable to Hubbell Incorporated, which excludes amortization of acquisition-related intangible assets and transaction, integration &amp; separation costs for both periods, and a loss on disposition of a business during the second quarter of 2025 was $293.7 million in the second quarter of 2026 and increased by 11.1% as compared to the second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43</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Segment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UTILITY SOLUTIONS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Utility Solutions segment adjusted operating income and adjusted operating margin to the directly comparable GAAP financial measures (in millions and percentage change):</w:t>
      </w:r>
    </w:p>
    <w:tbl>
      <w:tblPr>
        <w:tblW w:w="7534" w:type="dxa"/>
        <w:jc w:val="left"/>
        <w:tblInd w:w="0" w:type="dxa"/>
        <w:tblLayout w:type="fixed"/>
        <w:tblCellMar>
          <w:top w:w="28" w:type="dxa"/>
          <w:left w:w="28" w:type="dxa"/>
          <w:bottom w:w="28" w:type="dxa"/>
          <w:right w:w="28" w:type="dxa"/>
        </w:tblCellMar>
      </w:tblPr>
      <w:tblGrid>
        <w:gridCol w:w="1567"/>
        <w:gridCol w:w="1372"/>
        <w:gridCol w:w="1381"/>
        <w:gridCol w:w="236"/>
        <w:gridCol w:w="857"/>
        <w:gridCol w:w="303"/>
        <w:gridCol w:w="236"/>
        <w:gridCol w:w="689"/>
        <w:gridCol w:w="303"/>
        <w:gridCol w:w="109"/>
        <w:gridCol w:w="109"/>
        <w:gridCol w:w="109"/>
        <w:gridCol w:w="109"/>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3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22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3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1,025.8 </w:t>
            </w:r>
          </w:p>
        </w:tc>
        <w:tc>
          <w:tcPr>
            <w:tcW w:w="30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935.5 </w:t>
            </w:r>
          </w:p>
        </w:tc>
        <w:tc>
          <w:tcPr>
            <w:tcW w:w="303"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(GAAP measure)</w:t>
            </w:r>
          </w:p>
        </w:tc>
        <w:tc>
          <w:tcPr>
            <w:tcW w:w="109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30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09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30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30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integration &amp; separation costs</w:t>
            </w:r>
          </w:p>
        </w:tc>
        <w:tc>
          <w:tcPr>
            <w:tcW w:w="109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0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 (non-GAAP measure)</w:t>
            </w:r>
          </w:p>
        </w:tc>
        <w:tc>
          <w:tcPr>
            <w:tcW w:w="23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262.8 </w:t>
            </w:r>
          </w:p>
        </w:tc>
        <w:tc>
          <w:tcPr>
            <w:tcW w:w="30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238.7 </w:t>
            </w:r>
          </w:p>
        </w:tc>
        <w:tc>
          <w:tcPr>
            <w:tcW w:w="303"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 (GAAP measure)</w:t>
            </w:r>
          </w:p>
        </w:tc>
        <w:tc>
          <w:tcPr>
            <w:tcW w:w="1093"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303"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2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30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 (non-GAAP measure)</w:t>
            </w:r>
          </w:p>
        </w:tc>
        <w:tc>
          <w:tcPr>
            <w:tcW w:w="1093" w:type="dxa"/>
            <w:gridSpan w:val="2"/>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303"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25" w:type="dxa"/>
            <w:gridSpan w:val="2"/>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303"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Utility Solutions segment organic net sales to the directly comparable GAAP financial measure (in millions and percentage change):</w:t>
      </w:r>
    </w:p>
    <w:p>
      <w:pPr>
        <w:pStyle w:val="TextBody"/>
        <w:bidi w:val="0"/>
        <w:spacing w:before="0" w:after="0"/>
        <w:jc w:val="left"/>
        <w:rPr/>
      </w:pPr>
      <w:r>
        <w:rPr/>
      </w:r>
    </w:p>
    <w:tbl>
      <w:tblPr>
        <w:tblW w:w="8792" w:type="dxa"/>
        <w:jc w:val="left"/>
        <w:tblInd w:w="0" w:type="dxa"/>
        <w:tblLayout w:type="fixed"/>
        <w:tblCellMar>
          <w:top w:w="28" w:type="dxa"/>
          <w:left w:w="28" w:type="dxa"/>
          <w:bottom w:w="28" w:type="dxa"/>
          <w:right w:w="28" w:type="dxa"/>
        </w:tblCellMar>
      </w:tblPr>
      <w:tblGrid>
        <w:gridCol w:w="1707"/>
        <w:gridCol w:w="1497"/>
        <w:gridCol w:w="1506"/>
        <w:gridCol w:w="238"/>
        <w:gridCol w:w="578"/>
        <w:gridCol w:w="123"/>
        <w:gridCol w:w="359"/>
        <w:gridCol w:w="359"/>
        <w:gridCol w:w="361"/>
        <w:gridCol w:w="238"/>
        <w:gridCol w:w="578"/>
        <w:gridCol w:w="123"/>
        <w:gridCol w:w="328"/>
        <w:gridCol w:w="328"/>
        <w:gridCol w:w="469"/>
      </w:tblGrid>
      <w:tr>
        <w:trPr/>
        <w:tc>
          <w:tcPr>
            <w:tcW w:w="170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Utility Solutions</w:t>
            </w:r>
          </w:p>
        </w:tc>
        <w:tc>
          <w:tcPr>
            <w:tcW w:w="9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0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c>
          <w:tcPr>
            <w:tcW w:w="9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1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r>
      <w:tr>
        <w:trPr/>
        <w:tc>
          <w:tcPr>
            <w:tcW w:w="471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growth (decline) (GAAP measure)</w:t>
            </w:r>
          </w:p>
        </w:tc>
        <w:tc>
          <w:tcPr>
            <w:tcW w:w="23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123"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36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23"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46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acquisitions</w:t>
            </w:r>
          </w:p>
        </w:tc>
        <w:tc>
          <w:tcPr>
            <w:tcW w:w="81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divestitures</w:t>
            </w:r>
          </w:p>
        </w:tc>
        <w:tc>
          <w:tcPr>
            <w:tcW w:w="81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exchange</w:t>
            </w:r>
          </w:p>
        </w:tc>
        <w:tc>
          <w:tcPr>
            <w:tcW w:w="81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23"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sales growth (decline) (non-GAAP measure)</w:t>
            </w:r>
          </w:p>
        </w:tc>
        <w:tc>
          <w:tcPr>
            <w:tcW w:w="23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23"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6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23"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46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Net sales in the Utility Solutions segment in the second quarter of 2026 were $1,025.8 million, and increased by $90.3 million, or 9.7%, as compared to the second quarter of 2025</w:t>
      </w:r>
      <w:r>
        <w:rPr>
          <w:rFonts w:ascii="Arial;sans-serif" w:hAnsi="Arial;sans-serif"/>
          <w:b w:val="false"/>
          <w:color w:val="000000"/>
          <w:sz w:val="18"/>
          <w:shd w:fill="FFFFFF" w:val="clear"/>
        </w:rPr>
        <w:t>. That increase was driven by a 5.5% increase in organic net sale</w:t>
      </w:r>
      <w:r>
        <w:rPr>
          <w:rFonts w:ascii="Arial;sans-serif" w:hAnsi="Arial;sans-serif"/>
          <w:b w:val="false"/>
          <w:color w:val="000000"/>
          <w:sz w:val="18"/>
        </w:rPr>
        <w:t xml:space="preserve">s, a 3.9% increase due to acquisitions and a 0.3% increase due to foreign exchange. The increase in organic net sales was driven by a low single digit percentage increase in price realization and a low single digit increase in unit volume. Strong substation, transmission and distribution markets drove volume growth in the quarter.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Operating income in the Utility Solutions segment for the second quarter of 2026 was $233.9 million, an increase of 7.2% compared to the second quarter of 2025. Operating margin decreased by 50 basis points to 22.8% in the second quarter of 2026. Excluding amortization of acquisition-related intangible assets and transaction, integration &amp; separation costs, the adjusted operating margin increased by 10 basis points to 25.6%. That increase includes approximately four percentage points of margin expansion due to favorable price realization, improved operational productivity, higher unit volumes and the impact of acquisitions. Those increases were partially offset by approximately four percentage points of margin contraction due to material and other cost inflation, including tariff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44</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ELECTRICAL SOLUTIONS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Electrical Solutions segment adjusted operating income and adjusted operating margin to the directly comparable GAAP financial measures (in millions and percentage change):</w:t>
      </w:r>
    </w:p>
    <w:tbl>
      <w:tblPr>
        <w:tblW w:w="7643" w:type="dxa"/>
        <w:jc w:val="left"/>
        <w:tblInd w:w="0" w:type="dxa"/>
        <w:tblLayout w:type="fixed"/>
        <w:tblCellMar>
          <w:top w:w="28" w:type="dxa"/>
          <w:left w:w="28" w:type="dxa"/>
          <w:bottom w:w="28" w:type="dxa"/>
          <w:right w:w="28" w:type="dxa"/>
        </w:tblCellMar>
      </w:tblPr>
      <w:tblGrid>
        <w:gridCol w:w="1567"/>
        <w:gridCol w:w="1372"/>
        <w:gridCol w:w="1381"/>
        <w:gridCol w:w="252"/>
        <w:gridCol w:w="736"/>
        <w:gridCol w:w="324"/>
        <w:gridCol w:w="252"/>
        <w:gridCol w:w="736"/>
        <w:gridCol w:w="324"/>
        <w:gridCol w:w="109"/>
        <w:gridCol w:w="109"/>
        <w:gridCol w:w="109"/>
        <w:gridCol w:w="109"/>
        <w:gridCol w:w="109"/>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31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1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5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686.0 </w:t>
            </w:r>
          </w:p>
        </w:tc>
        <w:tc>
          <w:tcPr>
            <w:tcW w:w="32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548.8 </w:t>
            </w:r>
          </w:p>
        </w:tc>
        <w:tc>
          <w:tcPr>
            <w:tcW w:w="32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(GAAP measure)</w:t>
            </w:r>
          </w:p>
        </w:tc>
        <w:tc>
          <w:tcPr>
            <w:tcW w:w="98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114.7 </w:t>
            </w:r>
          </w:p>
        </w:tc>
        <w:tc>
          <w:tcPr>
            <w:tcW w:w="32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98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32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32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integration &amp; separation costs</w:t>
            </w:r>
          </w:p>
        </w:tc>
        <w:tc>
          <w:tcPr>
            <w:tcW w:w="98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32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 (non-GAAP measure)</w:t>
            </w:r>
          </w:p>
        </w:tc>
        <w:tc>
          <w:tcPr>
            <w:tcW w:w="25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145.7 </w:t>
            </w:r>
          </w:p>
        </w:tc>
        <w:tc>
          <w:tcPr>
            <w:tcW w:w="32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123.5 </w:t>
            </w:r>
          </w:p>
        </w:tc>
        <w:tc>
          <w:tcPr>
            <w:tcW w:w="32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 (GAAP measure)</w:t>
            </w:r>
          </w:p>
        </w:tc>
        <w:tc>
          <w:tcPr>
            <w:tcW w:w="988"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32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8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32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 (non-GAAP measure)</w:t>
            </w:r>
          </w:p>
        </w:tc>
        <w:tc>
          <w:tcPr>
            <w:tcW w:w="988" w:type="dxa"/>
            <w:gridSpan w:val="2"/>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324"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88" w:type="dxa"/>
            <w:gridSpan w:val="2"/>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324"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Electrical Solutions segment organic net sales to the directly comparable GAAP financial measure (in millions and percentage change):</w:t>
      </w:r>
    </w:p>
    <w:p>
      <w:pPr>
        <w:pStyle w:val="TextBody"/>
        <w:bidi w:val="0"/>
        <w:spacing w:before="0" w:after="0"/>
        <w:jc w:val="left"/>
        <w:rPr/>
      </w:pPr>
      <w:r>
        <w:rPr/>
      </w:r>
    </w:p>
    <w:tbl>
      <w:tblPr>
        <w:tblW w:w="8060" w:type="dxa"/>
        <w:jc w:val="left"/>
        <w:tblInd w:w="0" w:type="dxa"/>
        <w:tblLayout w:type="fixed"/>
        <w:tblCellMar>
          <w:top w:w="28" w:type="dxa"/>
          <w:left w:w="28" w:type="dxa"/>
          <w:bottom w:w="28" w:type="dxa"/>
          <w:right w:w="28" w:type="dxa"/>
        </w:tblCellMar>
      </w:tblPr>
      <w:tblGrid>
        <w:gridCol w:w="1429"/>
        <w:gridCol w:w="1254"/>
        <w:gridCol w:w="1261"/>
        <w:gridCol w:w="228"/>
        <w:gridCol w:w="667"/>
        <w:gridCol w:w="118"/>
        <w:gridCol w:w="359"/>
        <w:gridCol w:w="359"/>
        <w:gridCol w:w="361"/>
        <w:gridCol w:w="228"/>
        <w:gridCol w:w="553"/>
        <w:gridCol w:w="118"/>
        <w:gridCol w:w="328"/>
        <w:gridCol w:w="328"/>
        <w:gridCol w:w="469"/>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Electrical Solutions</w:t>
            </w:r>
          </w:p>
        </w:tc>
        <w:tc>
          <w:tcPr>
            <w:tcW w:w="101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0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c>
          <w:tcPr>
            <w:tcW w:w="8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1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r>
      <w:tr>
        <w:trPr/>
        <w:tc>
          <w:tcPr>
            <w:tcW w:w="394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growth (GAAP measure)</w:t>
            </w:r>
          </w:p>
        </w:tc>
        <w:tc>
          <w:tcPr>
            <w:tcW w:w="22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137.2 </w:t>
            </w:r>
          </w:p>
        </w:tc>
        <w:tc>
          <w:tcPr>
            <w:tcW w:w="11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36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18"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46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acquisitions</w:t>
            </w:r>
          </w:p>
        </w:tc>
        <w:tc>
          <w:tcPr>
            <w:tcW w:w="89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divestitures</w:t>
            </w:r>
          </w:p>
        </w:tc>
        <w:tc>
          <w:tcPr>
            <w:tcW w:w="89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exchange</w:t>
            </w:r>
          </w:p>
        </w:tc>
        <w:tc>
          <w:tcPr>
            <w:tcW w:w="89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1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sales growth (non-GAAP measure)</w:t>
            </w:r>
          </w:p>
        </w:tc>
        <w:tc>
          <w:tcPr>
            <w:tcW w:w="22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100.3 </w:t>
            </w:r>
          </w:p>
        </w:tc>
        <w:tc>
          <w:tcPr>
            <w:tcW w:w="11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36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1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46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Net sales in the Electrical Solutions segment in the second quarter of 2026 were $686.0 million and increased by </w:t>
      </w:r>
      <w:r>
        <w:rPr>
          <w:rFonts w:ascii="Arial;sans-serif" w:hAnsi="Arial;sans-serif"/>
          <w:b w:val="false"/>
          <w:color w:val="000000"/>
          <w:sz w:val="18"/>
        </w:rPr>
        <w:t>$137.2 million</w:t>
      </w:r>
      <w:r>
        <w:rPr>
          <w:rFonts w:ascii="Arial;sans-serif" w:hAnsi="Arial;sans-serif"/>
          <w:b w:val="false"/>
          <w:color w:val="000000"/>
          <w:sz w:val="18"/>
          <w:shd w:fill="FFFFFF" w:val="clear"/>
        </w:rPr>
        <w:t xml:space="preserve">, or 25.1%, as compared to the second quarter of 2025. That increase includes </w:t>
      </w:r>
      <w:r>
        <w:rPr>
          <w:rFonts w:ascii="Arial;sans-serif" w:hAnsi="Arial;sans-serif"/>
          <w:b w:val="false"/>
          <w:color w:val="000000"/>
          <w:sz w:val="18"/>
        </w:rPr>
        <w:t>18.3%</w:t>
      </w:r>
      <w:r>
        <w:rPr>
          <w:color w:val="000000"/>
          <w:shd w:fill="FFFFFF" w:val="clear"/>
        </w:rPr>
        <w:t xml:space="preserve"> </w:t>
      </w:r>
      <w:r>
        <w:rPr>
          <w:rFonts w:ascii="Arial;sans-serif" w:hAnsi="Arial;sans-serif"/>
          <w:b w:val="false"/>
          <w:color w:val="000000"/>
          <w:sz w:val="18"/>
          <w:shd w:fill="FFFFFF" w:val="clear"/>
        </w:rPr>
        <w:t xml:space="preserve">growth in organic net sales, a </w:t>
      </w:r>
      <w:r>
        <w:rPr>
          <w:rFonts w:ascii="Arial;sans-serif" w:hAnsi="Arial;sans-serif"/>
          <w:b w:val="false"/>
          <w:color w:val="000000"/>
          <w:sz w:val="18"/>
        </w:rPr>
        <w:t>6.5%</w:t>
      </w:r>
      <w:r>
        <w:rPr>
          <w:color w:val="000000"/>
          <w:shd w:fill="FFFFFF" w:val="clear"/>
        </w:rPr>
        <w:t xml:space="preserve"> </w:t>
      </w:r>
      <w:r>
        <w:rPr>
          <w:rFonts w:ascii="Arial;sans-serif" w:hAnsi="Arial;sans-serif"/>
          <w:b w:val="false"/>
          <w:color w:val="000000"/>
          <w:sz w:val="18"/>
          <w:shd w:fill="FFFFFF" w:val="clear"/>
        </w:rPr>
        <w:t xml:space="preserve">increase due to acquisitions and a </w:t>
      </w:r>
      <w:r>
        <w:rPr>
          <w:rFonts w:ascii="Arial;sans-serif" w:hAnsi="Arial;sans-serif"/>
          <w:b w:val="false"/>
          <w:color w:val="000000"/>
          <w:sz w:val="18"/>
        </w:rPr>
        <w:t>0.3%</w:t>
      </w:r>
      <w:r>
        <w:rPr>
          <w:color w:val="000000"/>
          <w:shd w:fill="FFFFFF" w:val="clear"/>
        </w:rPr>
        <w:t xml:space="preserve"> </w:t>
      </w:r>
      <w:r>
        <w:rPr>
          <w:rFonts w:ascii="Arial;sans-serif" w:hAnsi="Arial;sans-serif"/>
          <w:b w:val="false"/>
          <w:color w:val="000000"/>
          <w:sz w:val="18"/>
          <w:shd w:fill="FFFFFF" w:val="clear"/>
        </w:rPr>
        <w:t xml:space="preserve">increase due to foreign exchange. The increase in organic net sales was driven by a low double digit percentage increase due to unit volume and a mid single digit percentage increase due to price realization. Volume growth in the second quarter of 2026 was driven primarily by strength in the data center, light industrial and non-residential markets.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Operating income in the Electrical Solutions segment for the second quarter of 2026 was $114.7 million and decreased by 2.9% compared to the second quarter of 2025, while operating margin in the second quarter of 2026 contracted by 480 basis points to 16.7%. Excluding amortization of acquisition-related intangibles and transaction, integration and separation costs, the adjusted operating margin contracted by 130 basis points to 21.2%.</w:t>
      </w:r>
      <w:r>
        <w:rPr>
          <w:color w:val="000000"/>
          <w:shd w:fill="FFFFFF" w:val="clear"/>
        </w:rPr>
        <w:t xml:space="preserve"> </w:t>
      </w:r>
      <w:r>
        <w:rPr>
          <w:rFonts w:ascii="Arial;sans-serif" w:hAnsi="Arial;sans-serif"/>
          <w:b w:val="false"/>
          <w:color w:val="000000"/>
          <w:sz w:val="18"/>
          <w:shd w:fill="FFFFFF" w:val="clear"/>
        </w:rPr>
        <w:t xml:space="preserve">The decrease in operating margin was primarily due to approximately eight percentage points of margin contraction driven by higher material and other cost inflation, including tariff expense and higher restructuring investment. Those factors were partially offset by approximately seven percentage points of margin expansion due to favorable price realization, higher unit volume, improved operational productivity and the impact of acquisitions.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45</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768"/>
          <w:sz w:val="24"/>
        </w:rPr>
      </w:pPr>
      <w:r>
        <w:rPr>
          <w:rFonts w:ascii="Arial;sans-serif" w:hAnsi="Arial;sans-serif"/>
          <w:b/>
          <w:color w:val="003768"/>
          <w:sz w:val="24"/>
        </w:rPr>
        <w:t>Results of Operations – Six Months Ended June 30, 2026 compared to the Six Months Ended June 30, 2025</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SUMMARY OF CONDENSED CONSOLIDATED RESULTS (IN MILLIONS, EXCEPT PER SHARE DATA):</w:t>
      </w:r>
      <w:r>
        <w:rPr>
          <w:color w:val="000000"/>
        </w:rPr>
        <w:t> </w:t>
      </w:r>
    </w:p>
    <w:tbl>
      <w:tblPr>
        <w:tblW w:w="10145" w:type="dxa"/>
        <w:jc w:val="left"/>
        <w:tblInd w:w="0" w:type="dxa"/>
        <w:tblLayout w:type="fixed"/>
        <w:tblCellMar>
          <w:top w:w="28" w:type="dxa"/>
          <w:left w:w="28" w:type="dxa"/>
          <w:bottom w:w="28" w:type="dxa"/>
          <w:right w:w="28" w:type="dxa"/>
        </w:tblCellMar>
      </w:tblPr>
      <w:tblGrid>
        <w:gridCol w:w="1665"/>
        <w:gridCol w:w="1466"/>
        <w:gridCol w:w="1473"/>
        <w:gridCol w:w="211"/>
        <w:gridCol w:w="766"/>
        <w:gridCol w:w="109"/>
        <w:gridCol w:w="297"/>
        <w:gridCol w:w="297"/>
        <w:gridCol w:w="741"/>
        <w:gridCol w:w="211"/>
        <w:gridCol w:w="766"/>
        <w:gridCol w:w="109"/>
        <w:gridCol w:w="297"/>
        <w:gridCol w:w="297"/>
        <w:gridCol w:w="741"/>
        <w:gridCol w:w="109"/>
        <w:gridCol w:w="109"/>
        <w:gridCol w:w="109"/>
        <w:gridCol w:w="109"/>
        <w:gridCol w:w="109"/>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3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of Net sales</w:t>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33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3,228.5 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2,849.5 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97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2,110.2 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65.4 </w:t>
            </w:r>
          </w:p>
        </w:tc>
        <w:tc>
          <w:tcPr>
            <w:tcW w:w="74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1,118.3 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74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994.7 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74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&amp; administrative (“S&amp;A”) expense</w:t>
            </w:r>
          </w:p>
        </w:tc>
        <w:tc>
          <w:tcPr>
            <w:tcW w:w="97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505.9 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74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612.4 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74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566.7 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74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97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425.2 </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74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w:t>
            </w:r>
          </w:p>
        </w:tc>
        <w:tc>
          <w:tcPr>
            <w:tcW w:w="977"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741"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741"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Hubbell Incorporated</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74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407.4 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74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Earnings allocated to participating securities</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available to common shareholders</w:t>
            </w:r>
          </w:p>
        </w:tc>
        <w:tc>
          <w:tcPr>
            <w:tcW w:w="2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406.7 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number of diluted shares outstanding</w:t>
            </w:r>
          </w:p>
        </w:tc>
        <w:tc>
          <w:tcPr>
            <w:tcW w:w="977"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0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5CF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10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SHARE </w:t>
            </w:r>
          </w:p>
        </w:tc>
        <w:tc>
          <w:tcPr>
            <w:tcW w:w="21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10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bottom w:val="single" w:sz="4" w:space="0" w:color="000000"/>
            </w:tcBorders>
            <w:shd w:fill="C5CFE1"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09"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reconciles Adjusted operating income, a non-GAAP measure, to Operating income, the directly comparable GAAP financial measure (in millions):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35"/>
        <w:gridCol w:w="1033"/>
        <w:gridCol w:w="1039"/>
        <w:gridCol w:w="289"/>
        <w:gridCol w:w="846"/>
        <w:gridCol w:w="149"/>
        <w:gridCol w:w="331"/>
        <w:gridCol w:w="804"/>
        <w:gridCol w:w="426"/>
        <w:gridCol w:w="289"/>
        <w:gridCol w:w="846"/>
        <w:gridCol w:w="149"/>
        <w:gridCol w:w="331"/>
        <w:gridCol w:w="804"/>
        <w:gridCol w:w="426"/>
        <w:gridCol w:w="109"/>
        <w:gridCol w:w="109"/>
        <w:gridCol w:w="109"/>
        <w:gridCol w:w="109"/>
        <w:gridCol w:w="109"/>
        <w:gridCol w:w="163"/>
      </w:tblGrid>
      <w:tr>
        <w:trPr/>
        <w:tc>
          <w:tcPr>
            <w:tcW w:w="173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5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of Net sales</w:t>
            </w:r>
          </w:p>
        </w:tc>
        <w:tc>
          <w:tcPr>
            <w:tcW w:w="12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5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(GAAP measure)</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612.4 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566.7 </w:t>
            </w:r>
          </w:p>
        </w:tc>
        <w:tc>
          <w:tcPr>
            <w:tcW w:w="14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42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integration &amp; separation costs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3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 (non-GAAP measure)</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709.2 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617.7 </w:t>
            </w:r>
          </w:p>
        </w:tc>
        <w:tc>
          <w:tcPr>
            <w:tcW w:w="14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4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The following table reconciles Adjusted net income attributable to Hubbell Incorporated, Adjusted net income available to common shareholders, and the diluted per share amounts thereof, each a non-GAAP measure, to the directly comparable GAAP financial measures (in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15"/>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5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Diluted Per Share</w:t>
            </w:r>
          </w:p>
        </w:tc>
        <w:tc>
          <w:tcPr>
            <w:tcW w:w="12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5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Diluted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Hubbell Incorporated (GAAP measure)</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407.4 </w:t>
            </w:r>
          </w:p>
        </w:tc>
        <w:tc>
          <w:tcPr>
            <w:tcW w:w="14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42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integration &amp; separation costs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426"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disposition of business</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526.2 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458.8 </w:t>
            </w:r>
          </w:p>
        </w:tc>
        <w:tc>
          <w:tcPr>
            <w:tcW w:w="14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42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 effects</w:t>
            </w:r>
            <w:r>
              <w:rPr>
                <w:rFonts w:ascii="Arial;sans-serif" w:hAnsi="Arial;sans-serif"/>
                <w:b w:val="false"/>
                <w:color w:val="000000"/>
                <w:sz w:val="12"/>
              </w:rPr>
              <w:t>(1)</w:t>
            </w:r>
            <w:r>
              <w:rPr>
                <w:color w:val="000000"/>
              </w:rPr>
              <w:t xml:space="preserve"> </w:t>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4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42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attributable to Hubbell Incorporated (non-GAAP measure)</w:t>
            </w:r>
          </w:p>
        </w:tc>
        <w:tc>
          <w:tcPr>
            <w:tcW w:w="28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503.6 </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9.46 </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446.7 </w:t>
            </w:r>
          </w:p>
        </w:tc>
        <w:tc>
          <w:tcPr>
            <w:tcW w:w="14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8.32 </w:t>
            </w:r>
          </w:p>
        </w:tc>
        <w:tc>
          <w:tcPr>
            <w:tcW w:w="42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Earnings allocated to participating securities</w:t>
            </w:r>
          </w:p>
        </w:tc>
        <w:tc>
          <w:tcPr>
            <w:tcW w:w="113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4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42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4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42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available to common shareholders (non-GAAP measure)</w:t>
            </w:r>
          </w:p>
        </w:tc>
        <w:tc>
          <w:tcPr>
            <w:tcW w:w="28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502.9 </w:t>
            </w:r>
          </w:p>
        </w:tc>
        <w:tc>
          <w:tcPr>
            <w:tcW w:w="14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9.45 </w:t>
            </w:r>
          </w:p>
        </w:tc>
        <w:tc>
          <w:tcPr>
            <w:tcW w:w="42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445.9 </w:t>
            </w:r>
          </w:p>
        </w:tc>
        <w:tc>
          <w:tcPr>
            <w:tcW w:w="14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426"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The income tax effects are calculated using the statutory tax rate, taking into consideration the nature of the item and the relevant taxing jurisdiction, unless otherwise noted.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46</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organic net sales to the directly comparable GAAP financial measure (in millions and percentage change):</w:t>
      </w:r>
    </w:p>
    <w:p>
      <w:pPr>
        <w:pStyle w:val="TextBody"/>
        <w:bidi w:val="0"/>
        <w:spacing w:before="0" w:after="0"/>
        <w:jc w:val="left"/>
        <w:rPr/>
      </w:pPr>
      <w:r>
        <w:rPr/>
      </w:r>
    </w:p>
    <w:tbl>
      <w:tblPr>
        <w:tblW w:w="9110" w:type="dxa"/>
        <w:jc w:val="left"/>
        <w:tblInd w:w="0" w:type="dxa"/>
        <w:tblLayout w:type="fixed"/>
        <w:tblCellMar>
          <w:top w:w="28" w:type="dxa"/>
          <w:left w:w="28" w:type="dxa"/>
          <w:bottom w:w="28" w:type="dxa"/>
          <w:right w:w="28" w:type="dxa"/>
        </w:tblCellMar>
      </w:tblPr>
      <w:tblGrid>
        <w:gridCol w:w="1702"/>
        <w:gridCol w:w="1501"/>
        <w:gridCol w:w="1506"/>
        <w:gridCol w:w="249"/>
        <w:gridCol w:w="729"/>
        <w:gridCol w:w="129"/>
        <w:gridCol w:w="359"/>
        <w:gridCol w:w="359"/>
        <w:gridCol w:w="361"/>
        <w:gridCol w:w="249"/>
        <w:gridCol w:w="604"/>
        <w:gridCol w:w="129"/>
        <w:gridCol w:w="359"/>
        <w:gridCol w:w="359"/>
        <w:gridCol w:w="361"/>
        <w:gridCol w:w="154"/>
      </w:tblGrid>
      <w:tr>
        <w:trPr/>
        <w:tc>
          <w:tcPr>
            <w:tcW w:w="170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0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c>
          <w:tcPr>
            <w:tcW w:w="98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growth (decline) (GAAP measure)</w:t>
            </w:r>
          </w:p>
        </w:tc>
        <w:tc>
          <w:tcPr>
            <w:tcW w:w="24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379.0 </w:t>
            </w:r>
          </w:p>
        </w:tc>
        <w:tc>
          <w:tcPr>
            <w:tcW w:w="129"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36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2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6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acquisitions</w:t>
            </w:r>
          </w:p>
        </w:tc>
        <w:tc>
          <w:tcPr>
            <w:tcW w:w="97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divestitures</w:t>
            </w:r>
          </w:p>
        </w:tc>
        <w:tc>
          <w:tcPr>
            <w:tcW w:w="97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2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6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exchange</w:t>
            </w:r>
          </w:p>
        </w:tc>
        <w:tc>
          <w:tcPr>
            <w:tcW w:w="97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29"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sales growth (decline) (non-GAAP measure)</w:t>
            </w:r>
          </w:p>
        </w:tc>
        <w:tc>
          <w:tcPr>
            <w:tcW w:w="24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263.4 </w:t>
            </w:r>
          </w:p>
        </w:tc>
        <w:tc>
          <w:tcPr>
            <w:tcW w:w="12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36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2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6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768"/>
          <w:sz w:val="24"/>
        </w:rPr>
      </w:pPr>
      <w:r>
        <w:rPr>
          <w:rFonts w:ascii="Arial;sans-serif" w:hAnsi="Arial;sans-serif"/>
          <w:b/>
          <w:color w:val="003768"/>
          <w:sz w:val="24"/>
        </w:rPr>
        <w:t>Net Sales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Net sales of $3,228.5 million in the first six months of 2026 increased by $379.0 million compared to the first six months of 2025. </w:t>
      </w:r>
      <w:r>
        <w:rPr>
          <w:rFonts w:ascii="Arial;sans-serif" w:hAnsi="Arial;sans-serif"/>
          <w:b w:val="false"/>
          <w:color w:val="000000"/>
          <w:sz w:val="18"/>
          <w:shd w:fill="FFFFFF" w:val="clear"/>
        </w:rPr>
        <w:t xml:space="preserve">Organic net sales increased by </w:t>
      </w:r>
      <w:r>
        <w:rPr>
          <w:rFonts w:ascii="Arial;sans-serif" w:hAnsi="Arial;sans-serif"/>
          <w:b w:val="false"/>
          <w:color w:val="000000"/>
          <w:sz w:val="18"/>
        </w:rPr>
        <w:t>9.2%</w:t>
      </w:r>
      <w:r>
        <w:rPr>
          <w:color w:val="000000"/>
          <w:shd w:fill="FFFFFF" w:val="clear"/>
        </w:rPr>
        <w:t xml:space="preserve"> </w:t>
      </w:r>
      <w:r>
        <w:rPr>
          <w:rFonts w:ascii="Arial;sans-serif" w:hAnsi="Arial;sans-serif"/>
          <w:b w:val="false"/>
          <w:color w:val="000000"/>
          <w:sz w:val="18"/>
          <w:shd w:fill="FFFFFF" w:val="clear"/>
        </w:rPr>
        <w:t>driven by a mid single digit percentage increase in price and a mid single digit increase in unit volume. Net sales increased 3.6</w:t>
      </w:r>
      <w:r>
        <w:rPr>
          <w:rFonts w:ascii="Arial;sans-serif" w:hAnsi="Arial;sans-serif"/>
          <w:b w:val="false"/>
          <w:color w:val="000000"/>
          <w:sz w:val="18"/>
        </w:rPr>
        <w:t>%</w:t>
      </w:r>
      <w:r>
        <w:rPr>
          <w:color w:val="000000"/>
          <w:shd w:fill="FFFFFF" w:val="clear"/>
        </w:rPr>
        <w:t xml:space="preserve"> </w:t>
      </w:r>
      <w:r>
        <w:rPr>
          <w:rFonts w:ascii="Arial;sans-serif" w:hAnsi="Arial;sans-serif"/>
          <w:b w:val="false"/>
          <w:color w:val="000000"/>
          <w:sz w:val="18"/>
          <w:shd w:fill="FFFFFF" w:val="clear"/>
        </w:rPr>
        <w:t xml:space="preserve">due to acquisitions, while foreign exchange resulted in a </w:t>
      </w:r>
      <w:r>
        <w:rPr>
          <w:rFonts w:ascii="Arial;sans-serif" w:hAnsi="Arial;sans-serif"/>
          <w:b w:val="false"/>
          <w:color w:val="000000"/>
          <w:sz w:val="18"/>
        </w:rPr>
        <w:t>0.4%</w:t>
      </w:r>
      <w:r>
        <w:rPr>
          <w:color w:val="000000"/>
          <w:shd w:fill="FFFFFF" w:val="clear"/>
        </w:rPr>
        <w:t xml:space="preserve"> </w:t>
      </w:r>
      <w:r>
        <w:rPr>
          <w:rFonts w:ascii="Arial;sans-serif" w:hAnsi="Arial;sans-serif"/>
          <w:b w:val="false"/>
          <w:color w:val="000000"/>
          <w:sz w:val="18"/>
          <w:shd w:fill="FFFFFF" w:val="clear"/>
        </w:rPr>
        <w:t xml:space="preserve">increase in net sales. These changes are discussed in more detail in the Segment Results section below.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shd w:fill="FFFFFF" w:val="clear"/>
        </w:rPr>
      </w:pPr>
      <w:r>
        <w:rPr>
          <w:rFonts w:ascii="Arial;sans-serif" w:hAnsi="Arial;sans-serif"/>
          <w:b/>
          <w:color w:val="003768"/>
          <w:sz w:val="24"/>
          <w:shd w:fill="FFFFFF" w:val="clear"/>
        </w:rPr>
        <w:t>Cost of Goods Sold and Gross Profit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As a percentage of Net sales, cost of goods sold increased by 30 basis points to 65.4% in the first six months of 2026, resulting in gross profit margin contracting to 34.6%. </w:t>
      </w:r>
      <w:r>
        <w:rPr>
          <w:rFonts w:ascii="Arial;sans-serif" w:hAnsi="Arial;sans-serif"/>
          <w:b w:val="false"/>
          <w:color w:val="000000"/>
          <w:sz w:val="18"/>
          <w:shd w:fill="FFFFFF" w:val="clear"/>
        </w:rPr>
        <w:t>Approximately six percentage points of gross profit margin expansion were driven by favorable price realization, improved operational productivity, higher volume, and the impact of acquisitions, partially offset by six percentage points of gross profit margin contraction due to material and other cost inflation, including tariff expense and higher intangible amortization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shd w:fill="FFFFFF" w:val="clear"/>
        </w:rPr>
      </w:pPr>
      <w:r>
        <w:rPr>
          <w:rFonts w:ascii="Arial;sans-serif" w:hAnsi="Arial;sans-serif"/>
          <w:b/>
          <w:color w:val="003768"/>
          <w:sz w:val="24"/>
          <w:shd w:fill="FFFFFF" w:val="clear"/>
        </w:rPr>
        <w:t>Selling &amp; Administrative Expenses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S&amp;A expense in the first six months of 2026 was $505.9 million and increased by $77.9 million or 18.2% compared to the prior year period. </w:t>
      </w:r>
      <w:r>
        <w:rPr>
          <w:rFonts w:ascii="Arial;sans-serif" w:hAnsi="Arial;sans-serif"/>
          <w:b w:val="false"/>
          <w:color w:val="000000"/>
          <w:sz w:val="18"/>
          <w:shd w:fill="FFFFFF" w:val="clear"/>
        </w:rPr>
        <w:t xml:space="preserve">This increase was driven by higher acquisition-related intangible amortization expense, higher transaction and integration costs and the selling and administration expense added by our acquisitions, higher employee compensation and benefits, and higher restructuring and related expenses in the current year compared to the prior year period. </w:t>
      </w:r>
      <w:r>
        <w:rPr>
          <w:rFonts w:ascii="Arial;sans-serif" w:hAnsi="Arial;sans-serif"/>
          <w:b w:val="false"/>
          <w:color w:val="000000"/>
          <w:sz w:val="18"/>
        </w:rPr>
        <w:t xml:space="preserve">S&amp;A expense as a percentage of Net sales was 15.6% in the first six months of 2026, compared to 15.0% in the first six months of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Total Other Expense</w:t>
      </w:r>
    </w:p>
    <w:p>
      <w:pPr>
        <w:pStyle w:val="TextBody"/>
        <w:bidi w:val="0"/>
        <w:spacing w:lineRule="auto" w:line="288" w:before="0" w:after="0"/>
        <w:jc w:val="both"/>
        <w:rPr>
          <w:color w:val="003768"/>
        </w:rPr>
      </w:pPr>
      <w:r>
        <w:rPr>
          <w:color w:val="003768"/>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Total other expense increased by $32.1 million in the first six months of 2026 to $72.3 million, primarily due to higher net interest expense of $32.8 million, due to higher average outstanding debt in the second quarter of 2026, primarily driven by additional debt issued to fund the NSI Industries acquisition. Net interest expense in the second quarter of 2026 also includes $7.2 million of bridge financing cost relating to the NSI Industries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shd w:fill="FFFFFF" w:val="clear"/>
        </w:rPr>
      </w:pPr>
      <w:r>
        <w:rPr>
          <w:rFonts w:ascii="Arial;sans-serif" w:hAnsi="Arial;sans-serif"/>
          <w:b/>
          <w:color w:val="003768"/>
          <w:sz w:val="24"/>
          <w:shd w:fill="FFFFFF" w:val="clear"/>
        </w:rPr>
        <w:t>Income Taxes</w:t>
      </w:r>
    </w:p>
    <w:p>
      <w:pPr>
        <w:pStyle w:val="TextBody"/>
        <w:bidi w:val="0"/>
        <w:spacing w:lineRule="auto" w:line="288" w:before="0" w:after="0"/>
        <w:jc w:val="both"/>
        <w:rPr>
          <w:color w:val="003768"/>
        </w:rPr>
      </w:pPr>
      <w:r>
        <w:rPr>
          <w:color w:val="003768"/>
        </w:rPr>
        <w:t> </w:t>
      </w:r>
    </w:p>
    <w:p>
      <w:pPr>
        <w:pStyle w:val="TextBody"/>
        <w:bidi w:val="0"/>
        <w:spacing w:lineRule="auto" w:line="268" w:before="0" w:after="0"/>
        <w:jc w:val="both"/>
        <w:rPr/>
      </w:pPr>
      <w:r>
        <w:rPr>
          <w:rFonts w:ascii="Arial;sans-serif" w:hAnsi="Arial;sans-serif"/>
          <w:b w:val="false"/>
          <w:color w:val="000000"/>
          <w:sz w:val="18"/>
        </w:rPr>
        <w:t>The effective tax rate in the first six months of 2026 decreased to 21.3% as compared to 22.1% in the first six months of 2025. The decrease is primarily attributable to the release of a valuation allowance and the recognition of benefits associated with an advance energy project credit during the second quarter of 2026. These favorable items are partially offset by transaction-related costs and tax audit reserves in the first six months 2026 when compared to the corresponding period in 2025</w:t>
      </w:r>
      <w:r>
        <w:rPr>
          <w:rFonts w:ascii="Arial;sans-serif" w:hAnsi="Arial;sans-serif"/>
          <w:b w:val="false"/>
          <w:color w:val="000000"/>
          <w:sz w:val="18"/>
          <w:shd w:fill="FFFFFF" w:val="clear"/>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 xml:space="preserve">Net Income Attributable to Hubbell Incorporated and Earnings Per Diluted Share </w:t>
      </w:r>
    </w:p>
    <w:p>
      <w:pPr>
        <w:pStyle w:val="TextBody"/>
        <w:bidi w:val="0"/>
        <w:spacing w:lineRule="auto" w:line="288" w:before="0" w:after="0"/>
        <w:jc w:val="both"/>
        <w:rPr>
          <w:color w:val="003768"/>
        </w:rPr>
      </w:pPr>
      <w:r>
        <w:rPr>
          <w:color w:val="003768"/>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income attributable to Hubbell Incorporated was $422.2 million in the first six months of 2026 and increased 3.6% as compared to the same period of the prior year, reflecting the factors described above. As a result, earnings per diluted share in the first six months of 2026 increased 4.6% as compared to the first six months of 2025. Adjusted net income attributable to Hubbell Incorporated, which excludes amortization of acquisition-related intangible assets and transaction, integration &amp; separation costs for both periods and a loss on the disposition of a business in 2025, was $503.6 million in the first six months of 2026 and increased by 12.7% as compared to the first six months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47</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Segment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UTILITY SOLUTIONS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Utility Solutions segment adjusted operating income and adjusted operating margin to the directly comparable GAAP financial measures (in millions and percentage change):</w:t>
      </w:r>
    </w:p>
    <w:tbl>
      <w:tblPr>
        <w:tblW w:w="7774" w:type="dxa"/>
        <w:jc w:val="left"/>
        <w:tblInd w:w="0" w:type="dxa"/>
        <w:tblLayout w:type="fixed"/>
        <w:tblCellMar>
          <w:top w:w="28" w:type="dxa"/>
          <w:left w:w="28" w:type="dxa"/>
          <w:bottom w:w="28" w:type="dxa"/>
          <w:right w:w="28" w:type="dxa"/>
        </w:tblCellMar>
      </w:tblPr>
      <w:tblGrid>
        <w:gridCol w:w="1567"/>
        <w:gridCol w:w="1372"/>
        <w:gridCol w:w="1381"/>
        <w:gridCol w:w="242"/>
        <w:gridCol w:w="879"/>
        <w:gridCol w:w="311"/>
        <w:gridCol w:w="242"/>
        <w:gridCol w:w="879"/>
        <w:gridCol w:w="311"/>
        <w:gridCol w:w="109"/>
        <w:gridCol w:w="109"/>
        <w:gridCol w:w="109"/>
        <w:gridCol w:w="109"/>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4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4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4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1,974.7 </w:t>
            </w:r>
          </w:p>
        </w:tc>
        <w:tc>
          <w:tcPr>
            <w:tcW w:w="31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1,792.6 </w:t>
            </w:r>
          </w:p>
        </w:tc>
        <w:tc>
          <w:tcPr>
            <w:tcW w:w="31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(GAAP measure)</w:t>
            </w:r>
          </w:p>
        </w:tc>
        <w:tc>
          <w:tcPr>
            <w:tcW w:w="112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409.0 </w:t>
            </w:r>
          </w:p>
        </w:tc>
        <w:tc>
          <w:tcPr>
            <w:tcW w:w="3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12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3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31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integration &amp; separation costs</w:t>
            </w:r>
          </w:p>
        </w:tc>
        <w:tc>
          <w:tcPr>
            <w:tcW w:w="112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 (non-GAAP measure)</w:t>
            </w:r>
          </w:p>
        </w:tc>
        <w:tc>
          <w:tcPr>
            <w:tcW w:w="24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470.1 </w:t>
            </w:r>
          </w:p>
        </w:tc>
        <w:tc>
          <w:tcPr>
            <w:tcW w:w="31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409.4 </w:t>
            </w:r>
          </w:p>
        </w:tc>
        <w:tc>
          <w:tcPr>
            <w:tcW w:w="31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 (GAAP measure)</w:t>
            </w:r>
          </w:p>
        </w:tc>
        <w:tc>
          <w:tcPr>
            <w:tcW w:w="1121"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3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 (non-GAAP measure)</w:t>
            </w:r>
          </w:p>
        </w:tc>
        <w:tc>
          <w:tcPr>
            <w:tcW w:w="1121" w:type="dxa"/>
            <w:gridSpan w:val="2"/>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311"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21" w:type="dxa"/>
            <w:gridSpan w:val="2"/>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311"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Utility Solutions segment organic net sales to the directly comparable GAAP financial measure (in millions and percentage change):</w:t>
      </w:r>
    </w:p>
    <w:p>
      <w:pPr>
        <w:pStyle w:val="TextBody"/>
        <w:bidi w:val="0"/>
        <w:spacing w:before="0" w:after="0"/>
        <w:jc w:val="left"/>
        <w:rPr/>
      </w:pPr>
      <w:r>
        <w:rPr/>
      </w:r>
    </w:p>
    <w:tbl>
      <w:tblPr>
        <w:tblW w:w="9020" w:type="dxa"/>
        <w:jc w:val="left"/>
        <w:tblInd w:w="0" w:type="dxa"/>
        <w:tblLayout w:type="fixed"/>
        <w:tblCellMar>
          <w:top w:w="28" w:type="dxa"/>
          <w:left w:w="28" w:type="dxa"/>
          <w:bottom w:w="28" w:type="dxa"/>
          <w:right w:w="28" w:type="dxa"/>
        </w:tblCellMar>
      </w:tblPr>
      <w:tblGrid>
        <w:gridCol w:w="1707"/>
        <w:gridCol w:w="1497"/>
        <w:gridCol w:w="1506"/>
        <w:gridCol w:w="241"/>
        <w:gridCol w:w="705"/>
        <w:gridCol w:w="124"/>
        <w:gridCol w:w="359"/>
        <w:gridCol w:w="359"/>
        <w:gridCol w:w="361"/>
        <w:gridCol w:w="241"/>
        <w:gridCol w:w="671"/>
        <w:gridCol w:w="124"/>
        <w:gridCol w:w="328"/>
        <w:gridCol w:w="328"/>
        <w:gridCol w:w="469"/>
      </w:tblGrid>
      <w:tr>
        <w:trPr/>
        <w:tc>
          <w:tcPr>
            <w:tcW w:w="170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Utility Solutions</w:t>
            </w:r>
          </w:p>
        </w:tc>
        <w:tc>
          <w:tcPr>
            <w:tcW w:w="10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0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c>
          <w:tcPr>
            <w:tcW w:w="10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1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r>
      <w:tr>
        <w:trPr/>
        <w:tc>
          <w:tcPr>
            <w:tcW w:w="471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growth (decline) (GAAP measure)</w:t>
            </w:r>
          </w:p>
        </w:tc>
        <w:tc>
          <w:tcPr>
            <w:tcW w:w="24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182.1 </w:t>
            </w:r>
          </w:p>
        </w:tc>
        <w:tc>
          <w:tcPr>
            <w:tcW w:w="12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36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24"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6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acquisitions</w:t>
            </w:r>
          </w:p>
        </w:tc>
        <w:tc>
          <w:tcPr>
            <w:tcW w:w="94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2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divestitures</w:t>
            </w:r>
          </w:p>
        </w:tc>
        <w:tc>
          <w:tcPr>
            <w:tcW w:w="94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exchange</w:t>
            </w:r>
          </w:p>
        </w:tc>
        <w:tc>
          <w:tcPr>
            <w:tcW w:w="94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2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sales growth (decline) (non-GAAP measure)</w:t>
            </w:r>
          </w:p>
        </w:tc>
        <w:tc>
          <w:tcPr>
            <w:tcW w:w="24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12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36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2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46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Net sales in the Utility Solutions segment in the first six months of 2026 were $1,974.7 million, and increased by $182.1 million, or 10.2%, as compared to the first six months of 2025</w:t>
      </w:r>
      <w:r>
        <w:rPr>
          <w:rFonts w:ascii="Arial;sans-serif" w:hAnsi="Arial;sans-serif"/>
          <w:b w:val="false"/>
          <w:color w:val="000000"/>
          <w:sz w:val="18"/>
          <w:shd w:fill="FFFFFF" w:val="clear"/>
        </w:rPr>
        <w:t xml:space="preserve">. That increase was driven by a </w:t>
      </w:r>
      <w:r>
        <w:rPr>
          <w:rFonts w:ascii="Arial;sans-serif" w:hAnsi="Arial;sans-serif"/>
          <w:b w:val="false"/>
          <w:color w:val="000000"/>
          <w:sz w:val="18"/>
        </w:rPr>
        <w:t>6.1%</w:t>
      </w:r>
      <w:r>
        <w:rPr>
          <w:color w:val="000000"/>
          <w:shd w:fill="FFFFFF" w:val="clear"/>
        </w:rPr>
        <w:t xml:space="preserve"> </w:t>
      </w:r>
      <w:r>
        <w:rPr>
          <w:rFonts w:ascii="Arial;sans-serif" w:hAnsi="Arial;sans-serif"/>
          <w:b w:val="false"/>
          <w:color w:val="000000"/>
          <w:sz w:val="18"/>
          <w:shd w:fill="FFFFFF" w:val="clear"/>
        </w:rPr>
        <w:t>increase in organic net sale</w:t>
      </w:r>
      <w:r>
        <w:rPr>
          <w:rFonts w:ascii="Arial;sans-serif" w:hAnsi="Arial;sans-serif"/>
          <w:b w:val="false"/>
          <w:color w:val="000000"/>
          <w:sz w:val="18"/>
        </w:rPr>
        <w:t>s, a 3.7% increase due to acquisitions and a 0.4% increase due to foreign exchange. The increase in organic net sales was driven by a low single digit percentage increase in price realization and a low single digit increase in unit volume. Strong substation, and distribution markets drove volume growth in the first half of 2026, which was partially offset by a decrease in volume within Grid Automation products from weak advanced metering infrastructure and meter project activity compared to the prior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Operating income in the Utility Solutions segment for the first six months of 2026 was $409.0 million, an increase of 10.8% compared to the first six months of 2025. Operating margin increased by 10 basis points to 20.7% in the first six months of 2026. Excluding amortization of acquisition-related intangible assets and transaction, integration &amp; separation costs, the adjusted operating margin increased by 100 basis points to 23.8%. That increase includes approximately five percentage points of margin expansion due to favorable price realization, improved operational productivity, higher unit volume and the impact of acquisitions. Those increases were partially offset by four percentage points of margin contraction due to material and other cost inflation, including tariff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48</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ELECTRICAL SOLUTIONS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Electrical Solutions segment adjusted operating income and adjusted operating margin to the directly comparable GAAP financial measures (in millions and percentage change):</w:t>
      </w:r>
    </w:p>
    <w:tbl>
      <w:tblPr>
        <w:tblW w:w="7774" w:type="dxa"/>
        <w:jc w:val="left"/>
        <w:tblInd w:w="0" w:type="dxa"/>
        <w:tblLayout w:type="fixed"/>
        <w:tblCellMar>
          <w:top w:w="28" w:type="dxa"/>
          <w:left w:w="28" w:type="dxa"/>
          <w:bottom w:w="28" w:type="dxa"/>
          <w:right w:w="28" w:type="dxa"/>
        </w:tblCellMar>
      </w:tblPr>
      <w:tblGrid>
        <w:gridCol w:w="1567"/>
        <w:gridCol w:w="1372"/>
        <w:gridCol w:w="1381"/>
        <w:gridCol w:w="242"/>
        <w:gridCol w:w="879"/>
        <w:gridCol w:w="311"/>
        <w:gridCol w:w="242"/>
        <w:gridCol w:w="879"/>
        <w:gridCol w:w="311"/>
        <w:gridCol w:w="109"/>
        <w:gridCol w:w="109"/>
        <w:gridCol w:w="109"/>
        <w:gridCol w:w="109"/>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4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4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4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1,253.8 </w:t>
            </w:r>
          </w:p>
        </w:tc>
        <w:tc>
          <w:tcPr>
            <w:tcW w:w="31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1,056.9 </w:t>
            </w:r>
          </w:p>
        </w:tc>
        <w:tc>
          <w:tcPr>
            <w:tcW w:w="31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(GAAP measure)</w:t>
            </w:r>
          </w:p>
        </w:tc>
        <w:tc>
          <w:tcPr>
            <w:tcW w:w="112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3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12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3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311"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integration &amp; separation costs</w:t>
            </w:r>
          </w:p>
        </w:tc>
        <w:tc>
          <w:tcPr>
            <w:tcW w:w="1121"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31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 (non-GAAP measure)</w:t>
            </w:r>
          </w:p>
        </w:tc>
        <w:tc>
          <w:tcPr>
            <w:tcW w:w="24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239.1 </w:t>
            </w:r>
          </w:p>
        </w:tc>
        <w:tc>
          <w:tcPr>
            <w:tcW w:w="31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208.3 </w:t>
            </w:r>
          </w:p>
        </w:tc>
        <w:tc>
          <w:tcPr>
            <w:tcW w:w="31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 (GAAP measure)</w:t>
            </w:r>
          </w:p>
        </w:tc>
        <w:tc>
          <w:tcPr>
            <w:tcW w:w="1121"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311"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 (non-GAAP measure)</w:t>
            </w:r>
          </w:p>
        </w:tc>
        <w:tc>
          <w:tcPr>
            <w:tcW w:w="1121" w:type="dxa"/>
            <w:gridSpan w:val="2"/>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311" w:type="dxa"/>
            <w:tcBorders>
              <w:top w:val="single" w:sz="4" w:space="0" w:color="FFFFFF"/>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21" w:type="dxa"/>
            <w:gridSpan w:val="2"/>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311" w:type="dxa"/>
            <w:tcBorders>
              <w:bottom w:val="single" w:sz="4" w:space="0" w:color="000000"/>
            </w:tcBorders>
            <w:shd w:fill="E7E7E8"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our Electrical Solutions segment organic net sales to the directly comparable GAAP financial measure (in millions and percentage change):</w:t>
      </w:r>
    </w:p>
    <w:p>
      <w:pPr>
        <w:pStyle w:val="TextBody"/>
        <w:bidi w:val="0"/>
        <w:spacing w:before="0" w:after="0"/>
        <w:jc w:val="left"/>
        <w:rPr/>
      </w:pPr>
      <w:r>
        <w:rPr/>
      </w:r>
    </w:p>
    <w:tbl>
      <w:tblPr>
        <w:tblW w:w="8232" w:type="dxa"/>
        <w:jc w:val="left"/>
        <w:tblInd w:w="0" w:type="dxa"/>
        <w:tblLayout w:type="fixed"/>
        <w:tblCellMar>
          <w:top w:w="28" w:type="dxa"/>
          <w:left w:w="28" w:type="dxa"/>
          <w:bottom w:w="28" w:type="dxa"/>
          <w:right w:w="28" w:type="dxa"/>
        </w:tblCellMar>
      </w:tblPr>
      <w:tblGrid>
        <w:gridCol w:w="1429"/>
        <w:gridCol w:w="1254"/>
        <w:gridCol w:w="1261"/>
        <w:gridCol w:w="249"/>
        <w:gridCol w:w="727"/>
        <w:gridCol w:w="128"/>
        <w:gridCol w:w="359"/>
        <w:gridCol w:w="359"/>
        <w:gridCol w:w="361"/>
        <w:gridCol w:w="249"/>
        <w:gridCol w:w="603"/>
        <w:gridCol w:w="128"/>
        <w:gridCol w:w="328"/>
        <w:gridCol w:w="328"/>
        <w:gridCol w:w="469"/>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Electrical Solutions</w:t>
            </w:r>
          </w:p>
        </w:tc>
        <w:tc>
          <w:tcPr>
            <w:tcW w:w="11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0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c>
          <w:tcPr>
            <w:tcW w:w="9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1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Inc/(Dec) %</w:t>
            </w:r>
          </w:p>
        </w:tc>
      </w:tr>
      <w:tr>
        <w:trPr/>
        <w:tc>
          <w:tcPr>
            <w:tcW w:w="394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growth (GAAP measure)</w:t>
            </w:r>
          </w:p>
        </w:tc>
        <w:tc>
          <w:tcPr>
            <w:tcW w:w="249"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128"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361"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3"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28"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469"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acquisitions</w:t>
            </w:r>
          </w:p>
        </w:tc>
        <w:tc>
          <w:tcPr>
            <w:tcW w:w="97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2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divestitures</w:t>
            </w:r>
          </w:p>
        </w:tc>
        <w:tc>
          <w:tcPr>
            <w:tcW w:w="97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28"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69"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exchange</w:t>
            </w:r>
          </w:p>
        </w:tc>
        <w:tc>
          <w:tcPr>
            <w:tcW w:w="97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8"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61"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sales growth (non-GAAP measure)</w:t>
            </w:r>
          </w:p>
        </w:tc>
        <w:tc>
          <w:tcPr>
            <w:tcW w:w="249"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154.2 </w:t>
            </w:r>
          </w:p>
        </w:tc>
        <w:tc>
          <w:tcPr>
            <w:tcW w:w="128"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361"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3"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2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469"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Net sales in the Electrical Solutions segment in the first six months of 2026 were </w:t>
      </w:r>
      <w:r>
        <w:rPr>
          <w:rFonts w:ascii="Arial;sans-serif" w:hAnsi="Arial;sans-serif"/>
          <w:b w:val="false"/>
          <w:color w:val="000000"/>
          <w:sz w:val="18"/>
        </w:rPr>
        <w:t>$1,253.8 million</w:t>
      </w:r>
      <w:r>
        <w:rPr>
          <w:color w:val="000000"/>
          <w:shd w:fill="FFFFFF" w:val="clear"/>
        </w:rPr>
        <w:t xml:space="preserve"> </w:t>
      </w:r>
      <w:r>
        <w:rPr>
          <w:rFonts w:ascii="Arial;sans-serif" w:hAnsi="Arial;sans-serif"/>
          <w:b w:val="false"/>
          <w:color w:val="000000"/>
          <w:sz w:val="18"/>
          <w:shd w:fill="FFFFFF" w:val="clear"/>
        </w:rPr>
        <w:t xml:space="preserve">and increased by </w:t>
      </w:r>
      <w:r>
        <w:rPr>
          <w:rFonts w:ascii="Arial;sans-serif" w:hAnsi="Arial;sans-serif"/>
          <w:b w:val="false"/>
          <w:color w:val="000000"/>
          <w:sz w:val="18"/>
        </w:rPr>
        <w:t>$196.9 million</w:t>
      </w:r>
      <w:r>
        <w:rPr>
          <w:rFonts w:ascii="Arial;sans-serif" w:hAnsi="Arial;sans-serif"/>
          <w:b w:val="false"/>
          <w:color w:val="000000"/>
          <w:sz w:val="18"/>
          <w:shd w:fill="FFFFFF" w:val="clear"/>
        </w:rPr>
        <w:t xml:space="preserve">, or </w:t>
      </w:r>
      <w:r>
        <w:rPr>
          <w:rFonts w:ascii="Arial;sans-serif" w:hAnsi="Arial;sans-serif"/>
          <w:b w:val="false"/>
          <w:color w:val="000000"/>
          <w:sz w:val="18"/>
        </w:rPr>
        <w:t>18.7%</w:t>
      </w:r>
      <w:r>
        <w:rPr>
          <w:rFonts w:ascii="Arial;sans-serif" w:hAnsi="Arial;sans-serif"/>
          <w:b w:val="false"/>
          <w:color w:val="000000"/>
          <w:sz w:val="18"/>
          <w:shd w:fill="FFFFFF" w:val="clear"/>
        </w:rPr>
        <w:t xml:space="preserve">, as compared to the first six months of 2025. That increase includes </w:t>
      </w:r>
      <w:r>
        <w:rPr>
          <w:rFonts w:ascii="Arial;sans-serif" w:hAnsi="Arial;sans-serif"/>
          <w:b w:val="false"/>
          <w:color w:val="000000"/>
          <w:sz w:val="18"/>
        </w:rPr>
        <w:t>14.6%</w:t>
      </w:r>
      <w:r>
        <w:rPr>
          <w:color w:val="000000"/>
          <w:shd w:fill="FFFFFF" w:val="clear"/>
        </w:rPr>
        <w:t xml:space="preserve"> </w:t>
      </w:r>
      <w:r>
        <w:rPr>
          <w:rFonts w:ascii="Arial;sans-serif" w:hAnsi="Arial;sans-serif"/>
          <w:b w:val="false"/>
          <w:color w:val="000000"/>
          <w:sz w:val="18"/>
          <w:shd w:fill="FFFFFF" w:val="clear"/>
        </w:rPr>
        <w:t xml:space="preserve">growth in organic net sales, a </w:t>
      </w:r>
      <w:r>
        <w:rPr>
          <w:rFonts w:ascii="Arial;sans-serif" w:hAnsi="Arial;sans-serif"/>
          <w:b w:val="false"/>
          <w:color w:val="000000"/>
          <w:sz w:val="18"/>
        </w:rPr>
        <w:t>3.5%</w:t>
      </w:r>
      <w:r>
        <w:rPr>
          <w:color w:val="000000"/>
          <w:shd w:fill="FFFFFF" w:val="clear"/>
        </w:rPr>
        <w:t xml:space="preserve"> </w:t>
      </w:r>
      <w:r>
        <w:rPr>
          <w:rFonts w:ascii="Arial;sans-serif" w:hAnsi="Arial;sans-serif"/>
          <w:b w:val="false"/>
          <w:color w:val="000000"/>
          <w:sz w:val="18"/>
          <w:shd w:fill="FFFFFF" w:val="clear"/>
        </w:rPr>
        <w:t xml:space="preserve">increase due to acquisitions, and a </w:t>
      </w:r>
      <w:r>
        <w:rPr>
          <w:rFonts w:ascii="Arial;sans-serif" w:hAnsi="Arial;sans-serif"/>
          <w:b w:val="false"/>
          <w:color w:val="000000"/>
          <w:sz w:val="18"/>
        </w:rPr>
        <w:t>0.6%</w:t>
      </w:r>
      <w:r>
        <w:rPr>
          <w:color w:val="000000"/>
          <w:shd w:fill="FFFFFF" w:val="clear"/>
        </w:rPr>
        <w:t xml:space="preserve"> </w:t>
      </w:r>
      <w:r>
        <w:rPr>
          <w:rFonts w:ascii="Arial;sans-serif" w:hAnsi="Arial;sans-serif"/>
          <w:b w:val="false"/>
          <w:color w:val="000000"/>
          <w:sz w:val="18"/>
          <w:shd w:fill="FFFFFF" w:val="clear"/>
        </w:rPr>
        <w:t xml:space="preserve">increase due to foreign exchange. The increase in organic net sales was driven by a high single digit percentage increase due to unit volume and a mid single digit percentage increase in price realization. Volume growth in the first half of 2026 was driven primarily by strength in the datacenter and light industrial markets, partially offset by softness in the heavy industrial markets.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Operating income in the Electrical Solutions segment for the first six months of 2026 was $203.4 million and increased by 2.9% compared to the first six months of 2025, while operating margin in the second quarter of 2026 contracted by 250 basis points to 16.2%. Excluding amortization of acquisition-related intangibles and transaction, integration and separation costs, the adjusted operating margin contracted by 60 basis points to 19.1%.</w:t>
      </w:r>
      <w:r>
        <w:rPr>
          <w:color w:val="000000"/>
          <w:shd w:fill="FFFFFF" w:val="clear"/>
        </w:rPr>
        <w:t xml:space="preserve"> </w:t>
      </w:r>
      <w:r>
        <w:rPr>
          <w:rFonts w:ascii="Arial;sans-serif" w:hAnsi="Arial;sans-serif"/>
          <w:b w:val="false"/>
          <w:color w:val="000000"/>
          <w:sz w:val="18"/>
          <w:shd w:fill="FFFFFF" w:val="clear"/>
        </w:rPr>
        <w:t xml:space="preserve">The decrease in operating margin was primarily due to approximately ten percentage points of margin contraction driven by higher material and other cost inflation, including tariff expense and higher restructuring investment. Those factors were partially offset by approximately nine percentage points of margin expansion due to favorable price realization, improved operational productivity, higher unit volume and the impact of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49</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8"/>
        </w:rPr>
      </w:pPr>
      <w:r>
        <w:rPr>
          <w:rFonts w:ascii="Arial;sans-serif" w:hAnsi="Arial;sans-serif"/>
          <w:b/>
          <w:color w:val="000000"/>
          <w:sz w:val="28"/>
        </w:rPr>
        <w:t>Financial Condition, Liquidity and Capital Resources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768"/>
          <w:sz w:val="24"/>
        </w:rPr>
      </w:pPr>
      <w:r>
        <w:rPr>
          <w:rFonts w:ascii="Arial;sans-serif" w:hAnsi="Arial;sans-serif"/>
          <w:b/>
          <w:color w:val="003768"/>
          <w:sz w:val="24"/>
        </w:rPr>
        <w:t>Cash Flow</w:t>
      </w:r>
    </w:p>
    <w:tbl>
      <w:tblPr>
        <w:tblW w:w="9454" w:type="dxa"/>
        <w:jc w:val="left"/>
        <w:tblInd w:w="0" w:type="dxa"/>
        <w:tblLayout w:type="fixed"/>
        <w:tblCellMar>
          <w:top w:w="28" w:type="dxa"/>
          <w:left w:w="28" w:type="dxa"/>
          <w:bottom w:w="28" w:type="dxa"/>
          <w:right w:w="28" w:type="dxa"/>
        </w:tblCellMar>
      </w:tblPr>
      <w:tblGrid>
        <w:gridCol w:w="2381"/>
        <w:gridCol w:w="2089"/>
        <w:gridCol w:w="2099"/>
        <w:gridCol w:w="295"/>
        <w:gridCol w:w="864"/>
        <w:gridCol w:w="152"/>
        <w:gridCol w:w="295"/>
        <w:gridCol w:w="864"/>
        <w:gridCol w:w="152"/>
        <w:gridCol w:w="109"/>
        <w:gridCol w:w="154"/>
      </w:tblGrid>
      <w:tr>
        <w:trPr/>
        <w:tc>
          <w:tcPr>
            <w:tcW w:w="2381"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w:t>
            </w:r>
          </w:p>
        </w:tc>
        <w:tc>
          <w:tcPr>
            <w:tcW w:w="1311" w:type="dxa"/>
            <w:gridSpan w:val="3"/>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95"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336.4 </w:t>
            </w:r>
          </w:p>
        </w:tc>
        <w:tc>
          <w:tcPr>
            <w:tcW w:w="15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Investing activities </w:t>
            </w:r>
          </w:p>
        </w:tc>
        <w:tc>
          <w:tcPr>
            <w:tcW w:w="115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(3,086.6)</w:t>
            </w:r>
          </w:p>
        </w:tc>
        <w:tc>
          <w:tcPr>
            <w:tcW w:w="15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w:t>
            </w:r>
          </w:p>
        </w:tc>
        <w:tc>
          <w:tcPr>
            <w:tcW w:w="15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Financing activities </w:t>
            </w:r>
          </w:p>
        </w:tc>
        <w:tc>
          <w:tcPr>
            <w:tcW w:w="115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2,651.7 </w:t>
            </w:r>
          </w:p>
        </w:tc>
        <w:tc>
          <w:tcPr>
            <w:tcW w:w="15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foreign currency exchange rate changes on cash and cash equivalents</w:t>
            </w:r>
          </w:p>
        </w:tc>
        <w:tc>
          <w:tcPr>
            <w:tcW w:w="1159"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52"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CHANGE IN CASH AND CASH EQUIVALENTS</w:t>
            </w:r>
          </w:p>
        </w:tc>
        <w:tc>
          <w:tcPr>
            <w:tcW w:w="295"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(99.7)</w:t>
            </w:r>
          </w:p>
        </w:tc>
        <w:tc>
          <w:tcPr>
            <w:tcW w:w="15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53.0</w:t>
            </w:r>
            <w:r>
              <w:rPr>
                <w:color w:val="000000"/>
              </w:rPr>
              <w:t> </w:t>
            </w:r>
          </w:p>
        </w:tc>
        <w:tc>
          <w:tcPr>
            <w:tcW w:w="15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Cash provided by operating activities for the six months ended June 30, 2026 was </w:t>
      </w:r>
      <w:r>
        <w:rPr>
          <w:rFonts w:ascii="Arial;sans-serif" w:hAnsi="Arial;sans-serif"/>
          <w:b w:val="false"/>
          <w:color w:val="000000"/>
          <w:sz w:val="18"/>
        </w:rPr>
        <w:t>$336.4</w:t>
      </w:r>
      <w:r>
        <w:rPr>
          <w:color w:val="000000"/>
        </w:rPr>
        <w:t xml:space="preserve"> </w:t>
      </w:r>
      <w:r>
        <w:rPr>
          <w:rFonts w:ascii="Arial;sans-serif" w:hAnsi="Arial;sans-serif"/>
          <w:b w:val="false"/>
          <w:color w:val="000000"/>
          <w:sz w:val="20"/>
        </w:rPr>
        <w:t>million</w:t>
      </w:r>
      <w:r>
        <w:rPr>
          <w:color w:val="000000"/>
          <w:shd w:fill="FFFFFF" w:val="clear"/>
        </w:rPr>
        <w:t xml:space="preserve"> </w:t>
      </w:r>
      <w:r>
        <w:rPr>
          <w:rFonts w:ascii="Arial;sans-serif" w:hAnsi="Arial;sans-serif"/>
          <w:b w:val="false"/>
          <w:color w:val="000000"/>
          <w:sz w:val="18"/>
          <w:shd w:fill="FFFFFF" w:val="clear"/>
        </w:rPr>
        <w:t>compared to cash provided by operating activities of $298.0 million for the same period in 2025. The increase in cash provided by operations is driven by higher net income on the increase in year over year operating results, higher non-cash depreciation and amortization expense in the first six months of 2026, and an increase</w:t>
      </w:r>
      <w:r>
        <w:rPr>
          <w:color w:val="000000"/>
        </w:rPr>
        <w:t xml:space="preserve"> </w:t>
      </w:r>
      <w:r>
        <w:rPr>
          <w:rFonts w:ascii="Arial;sans-serif" w:hAnsi="Arial;sans-serif"/>
          <w:b w:val="false"/>
          <w:color w:val="000000"/>
          <w:sz w:val="18"/>
        </w:rPr>
        <w:t>of $20 million d</w:t>
      </w:r>
      <w:r>
        <w:rPr>
          <w:rFonts w:ascii="Arial;sans-serif" w:hAnsi="Arial;sans-serif"/>
          <w:b w:val="false"/>
          <w:color w:val="000000"/>
          <w:sz w:val="18"/>
          <w:shd w:fill="FFFFFF" w:val="clear"/>
        </w:rPr>
        <w:t xml:space="preserve">ue to the timing of annual pension plan contributions.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Cash used by investing activities was $3,086.6 million in the six months ended June 30, 2026 compared to cash used of $140.6 million during the comparable period in 2025. This change was driven by approximatel</w:t>
      </w:r>
      <w:r>
        <w:rPr>
          <w:rFonts w:ascii="Arial;sans-serif" w:hAnsi="Arial;sans-serif"/>
          <w:b w:val="false"/>
          <w:color w:val="000000"/>
          <w:sz w:val="18"/>
        </w:rPr>
        <w:t>y $3.0 billion of</w:t>
      </w:r>
      <w:r>
        <w:rPr>
          <w:color w:val="000000"/>
          <w:shd w:fill="FFFFFF" w:val="clear"/>
        </w:rPr>
        <w:t xml:space="preserve"> </w:t>
      </w:r>
      <w:r>
        <w:rPr>
          <w:rFonts w:ascii="Arial;sans-serif" w:hAnsi="Arial;sans-serif"/>
          <w:b w:val="false"/>
          <w:color w:val="000000"/>
          <w:sz w:val="18"/>
          <w:shd w:fill="FFFFFF" w:val="clear"/>
        </w:rPr>
        <w:t xml:space="preserve">cash used in the second quarter of 2026 to acquire NSI Industries, and a </w:t>
      </w:r>
      <w:r>
        <w:rPr>
          <w:rFonts w:ascii="Arial;sans-serif" w:hAnsi="Arial;sans-serif"/>
          <w:b w:val="false"/>
          <w:color w:val="000000"/>
          <w:sz w:val="18"/>
        </w:rPr>
        <w:t>$11.7 million i</w:t>
      </w:r>
      <w:r>
        <w:rPr>
          <w:rFonts w:ascii="Arial;sans-serif" w:hAnsi="Arial;sans-serif"/>
          <w:b w:val="false"/>
          <w:color w:val="000000"/>
          <w:sz w:val="18"/>
          <w:shd w:fill="FFFFFF" w:val="clear"/>
        </w:rPr>
        <w:t>ncrease in capital expenditures in the first six months of 2026 compared to 2025.</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Arial;sans-serif" w:hAnsi="Arial;sans-serif"/>
          <w:b w:val="false"/>
          <w:color w:val="000000"/>
          <w:sz w:val="18"/>
          <w:shd w:fill="FFFFFF" w:val="clear"/>
        </w:rPr>
        <w:t>Cash provided by financing activities was $2,651.7 million in the six months ended June 30, 2026 as compared to cash used of $117.5 million in the comparable period of 2025. The increase in cash used by financing activities primarily reflects an increase in borrowings in 2026, including an approximately</w:t>
      </w:r>
      <w:r>
        <w:rPr>
          <w:color w:val="000000"/>
        </w:rPr>
        <w:t xml:space="preserve"> </w:t>
      </w:r>
      <w:r>
        <w:rPr>
          <w:rFonts w:ascii="Arial;sans-serif" w:hAnsi="Arial;sans-serif"/>
          <w:b w:val="false"/>
          <w:color w:val="000000"/>
          <w:sz w:val="18"/>
        </w:rPr>
        <w:t>$2,787.5 million</w:t>
      </w:r>
      <w:r>
        <w:rPr>
          <w:color w:val="000000"/>
          <w:shd w:fill="FFFFFF" w:val="clear"/>
        </w:rPr>
        <w:t xml:space="preserve"> </w:t>
      </w:r>
      <w:r>
        <w:rPr>
          <w:rFonts w:ascii="Arial;sans-serif" w:hAnsi="Arial;sans-serif"/>
          <w:b w:val="false"/>
          <w:color w:val="000000"/>
          <w:sz w:val="18"/>
          <w:shd w:fill="FFFFFF" w:val="clear"/>
        </w:rPr>
        <w:t>increase in long-term debt borrowings in June 2026 to fund a portion of the NSI Industries purchase price in the second quarter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unfavorable impact of foreign currency exchange rates on cash was $1.2 million for the six months ended June 30, 2026 and the change compared to the same prior year period is primarily related to the U.S. Dollar strengthening against the Canadian Dollar, India Rupee, and British Pound.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Investments in the Business</w:t>
      </w:r>
    </w:p>
    <w:p>
      <w:pPr>
        <w:pStyle w:val="TextBody"/>
        <w:bidi w:val="0"/>
        <w:spacing w:lineRule="auto" w:line="288" w:before="0" w:after="0"/>
        <w:jc w:val="both"/>
        <w:rPr>
          <w:color w:val="003768"/>
        </w:rPr>
      </w:pPr>
      <w:r>
        <w:rPr>
          <w:color w:val="003768"/>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Investments in our business include cash outlays for the acquisition of businesses, and investments in capacity and innovation, as well as for expenditures on productivity initiatives and to maintain the operation of our equipment and facilities and invest in restructuring activities.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the first six months of 2026, we completed the acquisition of NSI Industries for approximately $3.0 billion, net of cash acquired, subject to customary purchase price adjustments. NSI Industries, is a leading provider of electrical fittings, connectors, components and wire management products. NSI Industries has been added to the Electrical Solutions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the first six months of 2026, we invested $77.6 million in capital expenditures on capacity expansion, automation, productivity initiatives and maintenance, and we also continue to invest in restructuring and related programs to maintain a competitive cost structure, to drive operational efficiencies and to mitigate the impact of rising material costs and administrative cost inflation. We expect investments in restructuring and related activities to continue in 2026 as we continue to invest in previously initiated actions and initiatives, further footprint consolidation, and other cost reduction initiatives.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connection with our restructuring and related actions, we have incurred restructuring costs as defined by U.S. GAAP, which are primarily severance and employee benefits, asset impairments, and accelerated depreciation, as well as facility closure, contract termination and certain pension costs that are directly related to restructuring actions. We also incurred restructuring-related costs, which are costs associated with our business transformation initiatives, including the consolidation of back-office functions and streamlining of our processes, and certain other costs and gains associated with restructuring actions. We refer to these costs on a combined basis as “restructuring and related costs”, which is a non-GAAP measure. We believe this non-GAAP measure provides investors with useful information regarding our underlying performance from period to period. Restructuring costs are predominantly settled in cash from our operating activities and are generally settled within one year, with the exception of asset impairments, which are non-cash.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50</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table below presents the restructuring and related costs incurred in the first six months of 2026, additional expected costs, and the expected completion date of restructuring actions that have been initiated as of June 30, 2026 and in prior years (in millions):</w:t>
      </w:r>
    </w:p>
    <w:tbl>
      <w:tblPr>
        <w:tblW w:w="10205" w:type="dxa"/>
        <w:jc w:val="center"/>
        <w:tblInd w:w="0" w:type="dxa"/>
        <w:tblLayout w:type="fixed"/>
        <w:tblCellMar>
          <w:top w:w="28" w:type="dxa"/>
          <w:left w:w="28" w:type="dxa"/>
          <w:bottom w:w="28" w:type="dxa"/>
          <w:right w:w="28" w:type="dxa"/>
        </w:tblCellMar>
      </w:tblPr>
      <w:tblGrid>
        <w:gridCol w:w="1445"/>
        <w:gridCol w:w="1040"/>
        <w:gridCol w:w="1046"/>
        <w:gridCol w:w="767"/>
        <w:gridCol w:w="1914"/>
        <w:gridCol w:w="396"/>
        <w:gridCol w:w="498"/>
        <w:gridCol w:w="995"/>
        <w:gridCol w:w="261"/>
        <w:gridCol w:w="538"/>
        <w:gridCol w:w="538"/>
        <w:gridCol w:w="767"/>
      </w:tblGrid>
      <w:tr>
        <w:trPr/>
        <w:tc>
          <w:tcPr>
            <w:tcW w:w="144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3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Costs incurred in the six months ended June 30, 2026</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Additional expected costs</w:t>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Expected completion date</w:t>
            </w:r>
          </w:p>
        </w:tc>
      </w:tr>
      <w:tr>
        <w:trPr/>
        <w:tc>
          <w:tcPr>
            <w:tcW w:w="353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Restructuring Actions</w:t>
            </w:r>
          </w:p>
        </w:tc>
        <w:tc>
          <w:tcPr>
            <w:tcW w:w="767"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1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9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6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w:t>
            </w:r>
          </w:p>
        </w:tc>
      </w:tr>
      <w:tr>
        <w:trPr/>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2025 and Prior Restructuring Actions </w:t>
            </w:r>
          </w:p>
        </w:tc>
        <w:tc>
          <w:tcPr>
            <w:tcW w:w="26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r>
      <w:tr>
        <w:trPr/>
        <w:tc>
          <w:tcPr>
            <w:tcW w:w="3531"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Restructuring cost (GAAP measure)</w:t>
            </w:r>
          </w:p>
        </w:tc>
        <w:tc>
          <w:tcPr>
            <w:tcW w:w="767"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1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w:t>
            </w:r>
            <w:r>
              <w:rPr>
                <w:color w:val="000000"/>
              </w:rPr>
              <w:t> </w:t>
            </w:r>
          </w:p>
        </w:tc>
        <w:tc>
          <w:tcPr>
            <w:tcW w:w="396"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5"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261"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4" w:space="0" w:color="000000"/>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268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9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Restructuring and related costs (Non-GAAP measure)</w:t>
            </w:r>
          </w:p>
        </w:tc>
        <w:tc>
          <w:tcPr>
            <w:tcW w:w="767"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14"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w:t>
            </w:r>
            <w:r>
              <w:rPr>
                <w:color w:val="000000"/>
              </w:rPr>
              <w:t> </w:t>
            </w:r>
          </w:p>
        </w:tc>
        <w:tc>
          <w:tcPr>
            <w:tcW w:w="396"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5"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w:t>
            </w:r>
            <w:r>
              <w:rPr>
                <w:color w:val="000000"/>
              </w:rPr>
              <w:t> </w:t>
            </w:r>
          </w:p>
        </w:tc>
        <w:tc>
          <w:tcPr>
            <w:tcW w:w="261"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4" w:space="0" w:color="000000"/>
              <w:bottom w:val="single" w:sz="4" w:space="0" w:color="000000"/>
            </w:tcBorders>
            <w:shd w:fill="E7E7E8"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Stock Repurchase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February 12, 2025, the Board of Directors approved a stock repurchase program (the “2025 Program”) that authorizes the repurchase of up to $500.0 million of common stock and expires in February 2028. In the second quarter of 2026 the Company repurchased $29.3 million of common stock. At June 30, 2026, our remaining share repurchase authorization was $298.2 million. Subject to numerous factors, including market conditions and alternative uses of cash, we may conduct discretionary repurchases through open market or privately negotiated transactions, which may include repurchases under plans complying with Rules 10b5-1 and 10b-18 under the Securities Exchange Act of 1934, as amended.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768"/>
          <w:sz w:val="24"/>
        </w:rPr>
      </w:pPr>
      <w:r>
        <w:rPr>
          <w:rFonts w:ascii="Arial;sans-serif" w:hAnsi="Arial;sans-serif"/>
          <w:b/>
          <w:color w:val="003768"/>
          <w:sz w:val="24"/>
        </w:rPr>
        <w:t>Debt to Capital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At June 30, 2026 and December 31, 2025, the Company had $4,803.9 million and $2,036.3 million, respectively, of long-term debt outstanding, net of the unamortized balance of capitalized debt issuance costs. At June 30, 2026, the Company had no long-term debt with maturities due within the next 12 months.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shd w:fill="FFFFFF" w:val="clear"/>
        </w:rPr>
      </w:pPr>
      <w:r>
        <w:rPr>
          <w:rFonts w:ascii="Arial;sans-serif" w:hAnsi="Arial;sans-serif"/>
          <w:b/>
          <w:i/>
          <w:color w:val="000000"/>
          <w:sz w:val="18"/>
          <w:shd w:fill="FFFFFF" w:val="clear"/>
        </w:rPr>
        <w:t>2026 Term Loan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On May 15, 2026, the Company entered into a Term Loan Agreement (the "2026 Term Loan Agreement") with a syndicate of lenders and JPMorgan Chase Bank, N.A., as administrative agent. On June 8, 2026, the Company borrowe</w:t>
      </w:r>
      <w:r>
        <w:rPr>
          <w:rFonts w:ascii="Arial;sans-serif" w:hAnsi="Arial;sans-serif"/>
          <w:b w:val="false"/>
          <w:color w:val="000000"/>
          <w:sz w:val="18"/>
        </w:rPr>
        <w:t xml:space="preserve">d $900 million </w:t>
      </w:r>
      <w:r>
        <w:rPr>
          <w:rFonts w:ascii="Arial;sans-serif" w:hAnsi="Arial;sans-serif"/>
          <w:b w:val="false"/>
          <w:color w:val="000000"/>
          <w:sz w:val="18"/>
          <w:shd w:fill="FFFFFF" w:val="clear"/>
        </w:rPr>
        <w:t xml:space="preserve">under the 2026 Term Loan Agreement (the "2026 Term Loan") on an unsecured basis to finance a portion of the purchase price of the NSI Industries acquisition. The 2026 Term Loan was made in a single borrowing and will be due and payable on June 8, 2029. The 2026 Term Loan bears interest based on the Term SOFR Rate (as defined in the 2026 Term Loan Agreement), plus an applicable interest addition based on Hubbell's credit ratings. The interest rate on the 2026 Term Loan as of June 30, 2026 was 4.65%. Hubbell also paid to the lenders certain customary fees in connection with the 2026 Term Loan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2026 Term Loan Agreement contains representations and warranties and affirmative and negative covenants customary for an unsecured financing of this type, as well as a financial covenant requiring that, as of the last day of each fiscal quarter, the ratio of total indebtedness to total capitalization shall not be greater than 65%. The Company was in compliance with this covenant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2025 Term Loan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September 29, 2025, the Company entered into a Term Loan Agreement (the "2025 Term Loan Agreement") with a syndicate of lenders and JPMorgan Chase Bank, N.A., as administrative agent. On October 1, 2025, the Company borrowed $600 million under the 2025 Term Loan Agreement (the "2025 Term Loan") on an unsecured basis to finance the majority of the purchase price of the DMC Power acquisition. The 2025 Term Loan was made in a single borrowing and will be due and payable on September 29, 2028. The 2025 Term Loan bears interest based on the Term SOFR Rate (as defined in the 2025 Term Loan Agreement), plus an applicable interest addition based on Hubbell's credit ratings. The interest rate on the 2025 Term Loan as of June 30, 2026 was 4.68%. Hubbell also paid to the lenders certain customary fees in connection with the 2025 Term Loan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2025 Term Loan Agreement contains representations and warranties and affirmative and negative covenants customary for an unsecured financing of this type, as well as a financial covenant requiring that, as of the last day of each fiscal quarter, the ratio of total indebtedness to total capitalization shall not be greater than 65%. The Company was in compliance with this covenant as of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51</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2025 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March 25, 2025, the Company, as borrower, and each foreign subsidiary borrower from time to time party thereto (collectively, the “Foreign Subsidiary Borrowers”) entered into a five-year credit agreement with a syndicate of lenders and JPMorgan Chase Bank, N.A., as administrative agent, that provides for a $1.0 billion committed unsecured revolving credit facility (the “Revolving Credit Agreement”). The obligations of the Foreign Subsidiary Borrowers (if any) under the Revolving Credit Agreement are guaranteed by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Commitments under the Revolving Credit Agreement may be conditionally increased to an aggregate amount not to exceed $1.5 billion. The Revolving Credit Agreement includes a $50.0 million sub-limit for the issuance of letters of credit. The sum of the dollar amount of loans and letters of credit to the Foreign Subsidiary Borrowers under the Revolving Credit Agreement may not exceed $100.0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interest rate applicable to borrowings under the Revolving Credit Agreement is either (i) the alternate base rate (as defined in the Revolving Credit Agreement) or (ii) the term SOFR rate (as defined in the Revolving Credit Agreement) plus an applicable margin based on the Company's credit ratings.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revolving loans outstanding under the Revolving Credit Agreement will be due and payable on March 25, 2030. The Revolving Credit Agreement provides for up to two one-year maturity extensions. As of June 30, 2026, the credit facility was undrawn.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Revolving Credit Agreement contains a sole financial covenant requiring that, as of the last day of each fiscal quarter, the ratio of total indebtedness to total capitalization shall not be greater than 65%. The Company was in compliance with this covenant as of June 30,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Unsecured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June 8, 2026, the Company completed a public offering of $500 million aggregate principal amount of its 4.650% Senior Notes due 2031 (the "2031 Notes"), $700 million aggregate principal amount of its 4.900% Senior Notes due 2033 (the "2033 Notes"), and $700 million aggregate principal amount of its 5.150% Senior Notes due 2036 (the "2036 Notes"). The net proceeds from the offering of the Notes were approximately $1,868.9 million, after deducting the underwriting discount and estimated offering expenses payable by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2031 Notes will mature on June 15, 2031, the 2033 Notes will mature on June 15, 2033 and the 2036 Notes will mature on June 15, 2036. Interest on the Notes will be payable semi-annually in arrears on June 15 and December 15 of each year, beginning on December 15, 2026. The Company used the net proceeds from the offerings, along with the proceeds from the 2026 Term Loan and issuance of commercial paper to fund the purchase of NSI Industries.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On November 14, 2025, the Company completed a public offering of $400 million aggregate principal amount of its</w:t>
      </w:r>
      <w:r>
        <w:rPr>
          <w:color w:val="000000"/>
        </w:rPr>
        <w:t xml:space="preserve"> </w:t>
      </w:r>
      <w:r>
        <w:rPr>
          <w:rFonts w:ascii="Arial;sans-serif" w:hAnsi="Arial;sans-serif"/>
          <w:b w:val="false"/>
          <w:color w:val="000000"/>
          <w:sz w:val="18"/>
        </w:rPr>
        <w:t>4.800%</w:t>
      </w:r>
      <w:r>
        <w:rPr>
          <w:color w:val="000000"/>
          <w:shd w:fill="FFFFFF" w:val="clear"/>
        </w:rPr>
        <w:t xml:space="preserve"> </w:t>
      </w:r>
      <w:r>
        <w:rPr>
          <w:rFonts w:ascii="Arial;sans-serif" w:hAnsi="Arial;sans-serif"/>
          <w:b w:val="false"/>
          <w:color w:val="000000"/>
          <w:sz w:val="18"/>
          <w:shd w:fill="FFFFFF" w:val="clear"/>
        </w:rPr>
        <w:t>Senior Notes due 2035 (the “2035 Notes”). The net proceeds from the offering were approximately $392.7 million after deducting the underwriting discount and estimated offering expenses payable by the Company. The 2035 Notes bear interest at a rate of 4.800% per annum from November 14, 2025. Interest on the 2035 Notes is payable semi-annually in arrears on May 15 and November 15 of each year, beginning on May 15, 2026. The 2035 Notes will mature on November 15, 2035.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The Company used the net proceeds from the offering of the 2035 Notes, together with cash on hand, on December 1, 2025 to redeem in full all of the Company’s outstandin</w:t>
      </w:r>
      <w:r>
        <w:rPr>
          <w:rFonts w:ascii="Arial;sans-serif" w:hAnsi="Arial;sans-serif"/>
          <w:b w:val="false"/>
          <w:color w:val="000000"/>
          <w:sz w:val="18"/>
        </w:rPr>
        <w:t>g 3.350% Senior Notes due in 2026 for an aggregate principal amount of $400 million, w</w:t>
      </w:r>
      <w:r>
        <w:rPr>
          <w:rFonts w:ascii="Arial;sans-serif" w:hAnsi="Arial;sans-serif"/>
          <w:b w:val="false"/>
          <w:color w:val="000000"/>
          <w:sz w:val="18"/>
          <w:shd w:fill="FFFFFF" w:val="clear"/>
        </w:rPr>
        <w:t>hich had a stated maturity date of March 1, 2026 (the "2026 Notes"), and to pay the accrued interest in respect thereof.</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At June 30, 2026, the Company had outstanding unsecured, senior notes (the “Notes”) in principal amounts of $300 million due in 2027, $450 million due in 2028, $300 million due in 2031, $500 million due in 2031, $700 million due in 2033, $400 million due in 2035 and $700 million due in 2036. At December 31, 2025, the Company had outstanding unsecured, senior notes in principal amounts of $300 million due in 2027, $450 million due in 2028, $300 million due in 2031, and $400 million due in 2035.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carrying value of the Notes, net of unamortized discount and the unamortized balance of capitalized debt issuance costs, was $3,307.7 million and $1,437.4 million at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Notes are callable at any time at specified prices and are only subject to accelerated payment prior to maturity upon customary events of default, or upon a change in control triggering event as defined in the indenture governing the Notes, as supplemented. The Company was in compliance with all covenants (none of which are financial)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52</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Short-term Debt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$568.7 million and $289.1 million of short-term debt at June 30, 2026 and December 31, 2025, respectively, composed of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$567.0 million of commercial paper borrowings outstanding at June 30, 2026, and $287.0 million of commercial paper borrowings outstanding at December 31,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$1.7 million and $2.1 million of other short term debt outstanding at June 30, 2026 and December 31, 2025, respectively, which consisted of amounts outstanding under our commercial card program.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debt, defined as total debt less cash and investments, is a non-GAAP measure that may not be comparable to definitions used by other companies. We consider net debt to be a useful measure of our financial leverage for evaluating the Company’s ability to meet its funding needs.</w:t>
      </w:r>
    </w:p>
    <w:tbl>
      <w:tblPr>
        <w:tblW w:w="7018" w:type="dxa"/>
        <w:jc w:val="left"/>
        <w:tblInd w:w="0" w:type="dxa"/>
        <w:tblLayout w:type="fixed"/>
        <w:tblCellMar>
          <w:top w:w="28" w:type="dxa"/>
          <w:left w:w="28" w:type="dxa"/>
          <w:bottom w:w="28" w:type="dxa"/>
          <w:right w:w="28" w:type="dxa"/>
        </w:tblCellMar>
      </w:tblPr>
      <w:tblGrid>
        <w:gridCol w:w="1420"/>
        <w:gridCol w:w="1244"/>
        <w:gridCol w:w="1250"/>
        <w:gridCol w:w="215"/>
        <w:gridCol w:w="798"/>
        <w:gridCol w:w="277"/>
        <w:gridCol w:w="292"/>
        <w:gridCol w:w="1084"/>
        <w:gridCol w:w="438"/>
      </w:tblGrid>
      <w:tr>
        <w:trPr/>
        <w:tc>
          <w:tcPr>
            <w:tcW w:w="142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millions)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 2026</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391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(GAAP measure)</w:t>
            </w:r>
          </w:p>
        </w:tc>
        <w:tc>
          <w:tcPr>
            <w:tcW w:w="21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5,372.6 </w:t>
            </w:r>
          </w:p>
        </w:tc>
        <w:tc>
          <w:tcPr>
            <w:tcW w:w="277"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2,325.4 </w:t>
            </w:r>
          </w:p>
        </w:tc>
        <w:tc>
          <w:tcPr>
            <w:tcW w:w="438"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Hubbell Incorporated Shareholders’ Equity</w:t>
            </w:r>
          </w:p>
        </w:tc>
        <w:tc>
          <w:tcPr>
            <w:tcW w:w="101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3,911.9 </w:t>
            </w:r>
          </w:p>
        </w:tc>
        <w:tc>
          <w:tcPr>
            <w:tcW w:w="27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3,847.9 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CAPITAL (GAAP measure)</w:t>
            </w:r>
          </w:p>
        </w:tc>
        <w:tc>
          <w:tcPr>
            <w:tcW w:w="21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9,284.5</w:t>
            </w:r>
            <w:r>
              <w:rPr>
                <w:color w:val="000000"/>
              </w:rPr>
              <w:t> </w:t>
            </w:r>
          </w:p>
        </w:tc>
        <w:tc>
          <w:tcPr>
            <w:tcW w:w="277"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4" w:type="dxa"/>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6,173.3</w:t>
            </w:r>
            <w:r>
              <w:rPr>
                <w:color w:val="000000"/>
              </w:rPr>
              <w:t> </w:t>
            </w:r>
          </w:p>
        </w:tc>
        <w:tc>
          <w:tcPr>
            <w:tcW w:w="438" w:type="dxa"/>
            <w:tcBorders>
              <w:top w:val="single" w:sz="4" w:space="0" w:color="000000"/>
            </w:tcBorders>
            <w:shd w:fill="E7E7E8"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to Total Capital (GAAP measure)</w:t>
            </w:r>
          </w:p>
        </w:tc>
        <w:tc>
          <w:tcPr>
            <w:tcW w:w="1013"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7"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438"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14"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Investments</w:t>
            </w:r>
          </w:p>
        </w:tc>
        <w:tc>
          <w:tcPr>
            <w:tcW w:w="1013"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498.4 </w:t>
            </w:r>
          </w:p>
        </w:tc>
        <w:tc>
          <w:tcPr>
            <w:tcW w:w="277"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E7E7E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596.3 </w:t>
            </w:r>
          </w:p>
        </w:tc>
        <w:tc>
          <w:tcPr>
            <w:tcW w:w="438" w:type="dxa"/>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 (non-GAAP measure)</w:t>
            </w:r>
          </w:p>
        </w:tc>
        <w:tc>
          <w:tcPr>
            <w:tcW w:w="215"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8"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4,874.2</w:t>
            </w:r>
            <w:r>
              <w:rPr>
                <w:color w:val="000000"/>
              </w:rPr>
              <w:t> </w:t>
            </w:r>
          </w:p>
        </w:tc>
        <w:tc>
          <w:tcPr>
            <w:tcW w:w="277"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4"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1,729.1</w:t>
            </w:r>
            <w:r>
              <w:rPr>
                <w:color w:val="000000"/>
              </w:rPr>
              <w:t> </w:t>
            </w:r>
          </w:p>
        </w:tc>
        <w:tc>
          <w:tcPr>
            <w:tcW w:w="438"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 to Total Capital (non-GAAP measure)</w:t>
            </w:r>
          </w:p>
        </w:tc>
        <w:tc>
          <w:tcPr>
            <w:tcW w:w="1013"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77"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76" w:type="dxa"/>
            <w:gridSpan w:val="2"/>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38" w:type="dxa"/>
            <w:tcBorders>
              <w:top w:val="single" w:sz="4" w:space="0" w:color="000000"/>
              <w:bottom w:val="single" w:sz="4" w:space="0" w:color="000000"/>
            </w:tcBorders>
            <w:shd w:fill="E7E7E8"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768"/>
          <w:sz w:val="24"/>
          <w:shd w:fill="FFFFFF" w:val="clear"/>
        </w:rPr>
      </w:pPr>
      <w:r>
        <w:rPr>
          <w:rFonts w:ascii="Arial;sans-serif" w:hAnsi="Arial;sans-serif"/>
          <w:b/>
          <w:color w:val="003768"/>
          <w:sz w:val="24"/>
          <w:shd w:fill="FFFFFF" w:val="clear"/>
        </w:rPr>
        <w:t>Liquidity</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both"/>
        <w:rPr/>
      </w:pPr>
      <w:r>
        <w:rPr>
          <w:rFonts w:ascii="Arial;sans-serif" w:hAnsi="Arial;sans-serif"/>
          <w:b w:val="false"/>
          <w:color w:val="000000"/>
          <w:sz w:val="18"/>
          <w:shd w:fill="FFFFFF" w:val="clear"/>
        </w:rPr>
        <w:t xml:space="preserve">We measure liquidity on the basis of our ability to meet short-term and long-term operational funding needs, to fund additional investments in our business, including acquisitions, and to make dividend payments to shareholders. Significant factors affecting the management of liquidity are cash flows from operating activities, capital expenditures, cash dividend payments, stock repurchases, access to bank lines of credit and our ability to attract long-term capital with satisfactory terms. In the first six months of 2026, we returned capital to our shareholders by paying $150.4 million of dividends on our common stock and using </w:t>
      </w:r>
      <w:r>
        <w:rPr>
          <w:rFonts w:ascii="Arial;sans-serif" w:hAnsi="Arial;sans-serif"/>
          <w:b w:val="false"/>
          <w:color w:val="000000"/>
          <w:sz w:val="18"/>
        </w:rPr>
        <w:t>$203.5 million</w:t>
      </w:r>
      <w:r>
        <w:rPr>
          <w:color w:val="000000"/>
          <w:shd w:fill="FFFFFF" w:val="clear"/>
        </w:rPr>
        <w:t xml:space="preserve"> </w:t>
      </w:r>
      <w:r>
        <w:rPr>
          <w:rFonts w:ascii="Arial;sans-serif" w:hAnsi="Arial;sans-serif"/>
          <w:b w:val="false"/>
          <w:color w:val="000000"/>
          <w:sz w:val="18"/>
          <w:shd w:fill="FFFFFF" w:val="clear"/>
        </w:rPr>
        <w:t xml:space="preserve">of cash for share repurchases.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also require cash outlays to fund our operations, capital expenditures, and working capital requirements to accommodate anticipated levels of business activity, as well as our rate of cash dividends, and potential future acquisitions. We have contractual obligations for long-term debt, operating leases, purchase obligations, and certain other long-term liabilities that are summarized in the Financial Condition, Liquidity and Capital Resources section in our Annual Report on Form 10-K for the year ended December 31,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sources of funds and available resources to meet these funding needs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Cash flows from operating activities and existing cash resources: In addition to cash flows from operating activities, we also had $378.6 million of cash and cash equivalents at June 30, 2026, of which approximately 35</w:t>
      </w:r>
      <w:r>
        <w:rPr>
          <w:rFonts w:ascii="Arial;sans-serif" w:hAnsi="Arial;sans-serif"/>
          <w:b w:val="false"/>
          <w:color w:val="000000"/>
          <w:sz w:val="18"/>
          <w:shd w:fill="FFFFFF" w:val="clear"/>
        </w:rPr>
        <w:t xml:space="preserve">% was held inside the United States and the remainder held internationally.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Revolving Credit Agreement provides a $1.0 billion committed revolving credit facility and commitments under the Revolving Credit Agreement may be increased (subject to certain conditions) to an aggregate amount not to exceed $1.5 billion. Annual commitment fees to support availability under the Revolving Credit Agreement are not material. Although not the principal source of liquidity, we believe our Revolving Credit Agreement is capable of providing significant financing flexibility at reasonable rates of interest and is an attractive alternative source of funding in the event that commercial paper markets experience disruption. However, an increase in usage of the Revolving Credit Agreement related to growth or a significant deterioration in the results of our operations or cash flows could cause our borrowing costs to increase and/or our ability to borrow could be restricted. We have not entered into any guarantees that could give rise to material unexpected cash requirements. The full $1.0 billion of borrowing capacity under the Revolving Credit Agreement was available to the Company at June 30,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In addition to our commercial paper program and existing revolving credit facility, we also have the ability to obtain additional financing through the issuance of long-term debt. Considering our current credit rating, historical earnings performance, and financial position, we believe that we would be able to obtain additional long-term debt financing on attractive terms.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53</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686965d061564401bd4f1f8540620a8b_109">
        <w:r>
          <w:rPr>
            <w:rStyle w:val="InternetLink"/>
            <w:rFonts w:ascii="Arial;sans-serif" w:hAnsi="Arial;sans-serif"/>
            <w:b/>
            <w:color w:val="0000FF"/>
            <w:sz w:val="28"/>
            <w:u w:val="single"/>
          </w:rPr>
          <w:t>Critical Accounting Estimates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summary of our critical accounting estimates is included in Management’s Discussion and Analysis of Financial Condition and Results of Operations contained in our Annual Report on Form 10-K for the year ended December 31, 2025.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 During the six months ended June 30, 2026, there were no material changes in our estimates and critical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54</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pPr>
      <w:hyperlink w:anchor="i686965d061564401bd4f1f8540620a8b_112">
        <w:r>
          <w:rPr>
            <w:rStyle w:val="InternetLink"/>
            <w:rFonts w:ascii="Arial;sans-serif" w:hAnsi="Arial;sans-serif"/>
            <w:b/>
            <w:color w:val="0000FF"/>
            <w:sz w:val="28"/>
            <w:u w:val="single"/>
          </w:rPr>
          <w:t>Forward-Looking Statements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Some of the information included in this Management’s Discussion and Analysis of Financial Condition and Results of Operations, and elsewhere in this Form 10-Q, contain “forward-looking statements” as defined by the Private Securities Litigation Reform Act of 1995. These statements generally relate to our expectations and beliefs regarding our financial results, condition and outlook, projections of future performance, anticipated growth and end markets, changes in operating results, market conditions and economic conditions, expected capital resources, liquidity, financial performance, pension funding, results of operations, plans, strategies, opportunities, developments and productivity initiatives, competitive positioning, and trends in particular markets or industries. In addition, all statements regarding the expected financial impact of the integration of acquisitions, adoption of updated accounting standards and any expected effects of such adoption, and intent to continue repurchasing shares of common stock, as well as other statements that are not strictly historic in nature, are forward-looking. Forward-looking statements may be identified by the use of words, such as “believe”, “expect”, “anticipate”, “intend”, “depend”, “should”, “plan”, “estimated”, “predict”, “could”, “may”, “subject to”, “continues”, “growing”, “prospective”, “forecast”, “projected”, “purport”, “might”, “if”, “contemplate”, “potential”, “pending,” “target”, “goals”, “scheduled”, “will”, “will likely be”, and similar words and phrases. Such forward-looking statements are based on our current expectations and involve numerous assumptions, known and unknown risks, uncertainties and other factors, which may cause actual and future performance or the Company's achievements to be materially different from any future results, performance, or achievements expressed or implied by such forward-looking statements. Such factors include, but are not limited 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Impact of and substantial uncertainty regarding the duration of existing and newly announced trade tariffs, import quotas or other trade actions, restrictions or measures taken by the United States, China, Mexico, the United Kingdom, member states of the European Union, and other countries, including the recent and ongoing potential changes in U.S. trade policies, that may be made by the current or a future presidential administration and changes in trade policies in other countries made in response to changes in the U.S. trade policies, as well as eligibility for and the timing of anticipated IEEPA tariff refunds.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general impact of inflation on our business, including the impact on raw materials costs, elevated interest rates and increased energy costs and our ability to implement and maintain pricing actions that we have taken to cover higher costs and protect our margin profile.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Economic and business conditions in particular industries, markets or geographic regions, as well the potential for macro-economic effects of the U.S. government federal deficit, and continued inflation, a significant economic slowdown, stagflation or recession.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Effects of unfavorable foreign currency exchange rates and the potential use of hedging instruments to hedge the exposure to fluctuating rates of foreign currency exchange on inventory purchases.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Supply chain disruptions and availability, costs and quantity of raw materials, purchased components, energy and freight.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Changes in demand for our products, market conditions, product quality, or product availability adversely affecting sales levels.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ability to effectively develop and introduce new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Changes in markets or competition adversely affecting realization of price increases.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Continued softness in the heavy industrial and residential markets of Electrical Solutions.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Failure to achieve projected levels of efficiencies, and maintain cost savings and cost reduction measures, including those expected as a result of our lean initiatives and strategic sourcing plans.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Failure to comply with import and export laws.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Changes relating to impairment of our goodwill and other intangible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inability to access capital markets or failure to maintain our credit ratings.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Changes in expected or future levels of operating cash flow, indebtedness and capital spending.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Regulatory issues, and extensive worldwide changes to the taxation of multinational enterprises, including global minimum tax rules under the Organisation for Economic Co-operation and Development's Pillar Two initiative and potential modifications to corporate taxation by the U.S. government, including adjustments to tax rates, deduction limitations, cross-border tax provisions, and administrative guidance.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 major disruption in one or more of our manufacturing or distribution facilities or headquarters, including the impact of plant consolidations and relocations.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Changes in our relationships with, or the financial condition or performance of, key distributors and other customers, agents or business partners which could adversely affect our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Impact of productivity improvements on lead times, quality and delivery of product.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Anticipated future contributions and assumptions, including increases in interest rates and changes in plan assets with respect to pensions and other retirement benefits, as well as pension withdrawal liabilities.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Adjustments to product warranty accruals in response to claims incurred, historical experiences and known costs.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Unexpected costs or charges, certain of which might be outside of our control.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Changes in strategy due to economic conditions or other conditions outside of our control affecting anticipated future global product sourcing levels.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ability to carry out future acquisitions and strategic investments in our core businesses as well as the acquisition-related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55</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ability to successfully manage and integrate acquired businesses, such as the acquisitions of NSI Industries, Ventev, Nicor, and DMC Power, as well as the failure to realize expected synergies and benefits anticipated when we make an acquisition due to potential adverse reactions or changes to business or employee relationships resulting from completion of the transaction, competitive responses to the transaction, the possibility that the anticipated benefits of the transaction are not realized when expected or at all, including as a result of the impact of, or problems arising from, the integration of the acquired business, diversion of management's attention from ongoing business operations and opportunities, and litigation relating to the transaction.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The impact of certain divestitures, including the benefits and costs of the sale of the residential lighting business.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ability to effectively implement Enterprise Resource Planning systems without disrupting operational and financial processes.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ability of government customers to meet their financial obligations.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Political unrest and military actions in foreign countries, including conflicts in Ukraine and the Middle East, and trade tensions with China, as well as the impact on world markets and energy supplies and prices resulting therefrom, including the U.S. Israel-Iran conflict, which has had substantial effects on global trade, the energy markets and the financial markets.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impact of potential natural disasters or additional public health emergencies on our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Failure of information technology systems, cybersecurity breaches, cyber threats, malware, phishing attacks, break-ins and similar events resulting in unauthorized disclosure of confidential information or disruptions or damage to information technology systems that could cause interruptions to our operations or adversely affect our internal control over financial reporting.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Incurring significant and/or unexpected costs to avoid, manage, defend and litigate intellectual property matters.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Future repurchases of common stock under our common stock repurchase program.</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Changes in accounting principles, interpretations, or estimates.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Failure to comply with any laws and regulations, including those related to data privacy and information security, environmental laws and those relating to conflict-free minerals.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The outcome of environmental, legal and tax contingencies or costs compared to amounts provided for such contingencies, including contingencies or costs with respect to pension withdrawal liabilities.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Improper conduct by any of our employees, agents or business partners that damages our reputation or subjects us to civil or criminal liability.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ability to hire, retain and develop qualified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Other factors described in our Securities and Exchange Commission filings, including in the “Business”, “Risk Factors”, “Management's Discussion and Analysis of Financial Condition and Results of Operations”, and “Quantitative and Qualitative Disclosures about Market Risk” sections in the Company’s Annual Report on Form 10-K for the year ended December 31, 2025, and Quarterly Report on Form 10-Q for the quarter ended March 31, 2026, and in this report, where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Any such forward-looking statements are not guarantees of future performances and actual results, developments and business decisions may differ from those contemplated by such forward-looking statements. The Company disclaims any duty to update any forward-looking statement, all of which are expressly qualified by the foregoing, other than as required by law.</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48"/>
        <w:gridCol w:w="394"/>
        <w:gridCol w:w="396"/>
        <w:gridCol w:w="2626"/>
        <w:gridCol w:w="2626"/>
        <w:gridCol w:w="3715"/>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768"/>
                <w:sz w:val="36"/>
              </w:rPr>
            </w:pPr>
            <w:r>
              <w:rPr>
                <w:rFonts w:ascii="Arial;sans-serif" w:hAnsi="Arial;sans-serif"/>
                <w:b/>
                <w:color w:val="003768"/>
                <w:sz w:val="36"/>
              </w:rPr>
              <w:t>ITEM 3</w:t>
            </w:r>
          </w:p>
        </w:tc>
        <w:tc>
          <w:tcPr>
            <w:tcW w:w="8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Quantitative and Qualitative Disclosures About Market Risk</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the operation of its business, the Company has exposures to fluctuating foreign currency exchange rates, availability of purchased finished goods and raw materials, changes in material prices, foreign sourcing issues, and changes in interest rates. There have been no significant changes in our exposure to these market risks during the six months ended June 30, 2026. For a complete discussion of the Company’s exposure to market risk, refer to Item 7A, “Quantitative and Qualitative Disclosures about Market Risk”, contained in the Company’s Annual Report on Form 10-K for the year ended December 31,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56</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tbl>
      <w:tblPr>
        <w:tblW w:w="5743" w:type="dxa"/>
        <w:jc w:val="left"/>
        <w:tblInd w:w="0" w:type="dxa"/>
        <w:tblLayout w:type="fixed"/>
        <w:tblCellMar>
          <w:top w:w="28" w:type="dxa"/>
          <w:left w:w="28" w:type="dxa"/>
          <w:bottom w:w="28" w:type="dxa"/>
          <w:right w:w="28" w:type="dxa"/>
        </w:tblCellMar>
      </w:tblPr>
      <w:tblGrid>
        <w:gridCol w:w="467"/>
        <w:gridCol w:w="410"/>
        <w:gridCol w:w="412"/>
        <w:gridCol w:w="1305"/>
        <w:gridCol w:w="1305"/>
        <w:gridCol w:w="184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768"/>
                <w:sz w:val="36"/>
              </w:rPr>
            </w:pPr>
            <w:r>
              <w:rPr>
                <w:rFonts w:ascii="Arial;sans-serif" w:hAnsi="Arial;sans-serif"/>
                <w:b/>
                <w:color w:val="003768"/>
                <w:sz w:val="36"/>
              </w:rPr>
              <w:t>ITEM 4</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Controls and Procedures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maintains disclosure controls and procedures that are designed to ensure that information required to be disclosed under the Securities Exchange Act of 1934, as amended (the “Exchange Act”), is recorded, processed, summarized and reported within the time periods specified and that such information is accumulated and communicated to management, including the Chief Executive Officer and Chief Financial Officer, as appropriate, to allow timely decisions regarding required disclosure. There are inherent limitations to the effectiveness of any system of disclosure controls and procedures. Accordingly, even effective disclosure controls and procedures can only provide reasonable assurance of achieving their control objectives.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management carried out an evaluation, with the participation of our Chief Executive Officer and Chief Financial Officer, of the effectiveness of the Company’s disclosure controls and procedures, as defined in Exchange Act Rules 13a-15(e) and 15d-15(e), as of the end of the period covered by this Quarterly Report on Form 10-Q. Based upon that evaluation, each of the Chief Executive Officer and Chief Financial Officer concluded that, as of June 30, 2026, the Company’s disclosure controls and procedures were effective at the reasonable assurance level.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previously announced, we acquired NSI Industries on June 9, 2026, except for any changes in internal controls related to the inclusion of NSI Industries' internal controls in the Company's control environment, if any, there have been no changes in the Company’s internal control over financial reporting that occurred during the Company’s most recently completed quarter that have materially affected, or are reasonably likely to materially affect, the Company’s internal control over financial reporting.</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57</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tbl>
      <w:tblPr>
        <w:tblW w:w="6136" w:type="dxa"/>
        <w:jc w:val="left"/>
        <w:tblInd w:w="0" w:type="dxa"/>
        <w:tblLayout w:type="fixed"/>
        <w:tblCellMar>
          <w:top w:w="28" w:type="dxa"/>
          <w:left w:w="28" w:type="dxa"/>
          <w:bottom w:w="28" w:type="dxa"/>
          <w:right w:w="28" w:type="dxa"/>
        </w:tblCellMar>
      </w:tblPr>
      <w:tblGrid>
        <w:gridCol w:w="565"/>
        <w:gridCol w:w="497"/>
        <w:gridCol w:w="499"/>
        <w:gridCol w:w="1339"/>
        <w:gridCol w:w="1339"/>
        <w:gridCol w:w="189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00376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40"/>
              </w:rPr>
            </w:pPr>
            <w:r>
              <w:rPr>
                <w:rFonts w:ascii="Arial;sans-serif" w:hAnsi="Arial;sans-serif"/>
                <w:b/>
                <w:color w:val="FFFFFF"/>
                <w:sz w:val="40"/>
              </w:rPr>
              <w:t>PART II</w:t>
            </w:r>
          </w:p>
        </w:tc>
        <w:tc>
          <w:tcPr>
            <w:tcW w:w="4575" w:type="dxa"/>
            <w:gridSpan w:val="3"/>
            <w:tcBorders/>
            <w:shd w:fill="003768"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Arial;sans-serif" w:hAnsi="Arial;sans-serif"/>
                <w:b/>
                <w:color w:val="FFFFFF"/>
                <w:sz w:val="40"/>
              </w:rPr>
            </w:pPr>
            <w:r>
              <w:rPr>
                <w:rFonts w:ascii="Arial;sans-serif" w:hAnsi="Arial;sans-serif"/>
                <w:b/>
                <w:color w:val="FFFFFF"/>
                <w:sz w:val="40"/>
              </w:rPr>
              <w:t>OTHER INFORMATION</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40" w:type="dxa"/>
        <w:jc w:val="left"/>
        <w:tblInd w:w="0" w:type="dxa"/>
        <w:tblLayout w:type="fixed"/>
        <w:tblCellMar>
          <w:top w:w="28" w:type="dxa"/>
          <w:left w:w="28" w:type="dxa"/>
          <w:bottom w:w="28" w:type="dxa"/>
          <w:right w:w="28" w:type="dxa"/>
        </w:tblCellMar>
      </w:tblPr>
      <w:tblGrid>
        <w:gridCol w:w="560"/>
        <w:gridCol w:w="491"/>
        <w:gridCol w:w="494"/>
        <w:gridCol w:w="672"/>
        <w:gridCol w:w="672"/>
        <w:gridCol w:w="951"/>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768"/>
                <w:sz w:val="36"/>
              </w:rPr>
            </w:pPr>
            <w:r>
              <w:rPr>
                <w:rFonts w:ascii="Arial;sans-serif" w:hAnsi="Arial;sans-serif"/>
                <w:b/>
                <w:color w:val="003768"/>
                <w:sz w:val="36"/>
              </w:rPr>
              <w:t>ITEM 1A</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Risk Factors</w:t>
            </w:r>
          </w:p>
        </w:tc>
      </w:tr>
    </w:tbl>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There have been no material changes in the Company's risk factors from those disclosed under the heading “Risk Factors” in our Annual Report on Form 10-K for the year ended December 31,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6"/>
        <w:gridCol w:w="391"/>
        <w:gridCol w:w="393"/>
        <w:gridCol w:w="2627"/>
        <w:gridCol w:w="2627"/>
        <w:gridCol w:w="3721"/>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768"/>
                <w:sz w:val="36"/>
              </w:rPr>
            </w:pPr>
            <w:r>
              <w:rPr>
                <w:rFonts w:ascii="Arial;sans-serif" w:hAnsi="Arial;sans-serif"/>
                <w:b/>
                <w:color w:val="003768"/>
                <w:sz w:val="36"/>
              </w:rPr>
              <w:t>ITEM 2</w:t>
            </w:r>
          </w:p>
        </w:tc>
        <w:tc>
          <w:tcPr>
            <w:tcW w:w="8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Unregistered Sales of Equity Securities and Use of Proceeds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February 12, 2025, the Board of Directors approved and announced a stock repurchase program (the “2025 Program”) that authorizes the repurchase of up to $500.0 million of common stock and expires in February 2028. In the second quarter of 2026 the Company repurchased $29.3 million of shares. At June 30, 2026, our remaining share repurchase authorization was $298.2 million. Subject to numerous factors, including market conditions and alternative uses of cash, we may conduct discretionary repurchases through open market or privately negotiated transactions, which may include repurchases under plans complying with Rules 10b5-1 and 10b-18 under the Securities Exchange Act of 1934, as amended.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Company's repurchase activity of common stock under the repurchase programs during the quarter ended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5"/>
        <w:gridCol w:w="480"/>
        <w:gridCol w:w="482"/>
        <w:gridCol w:w="672"/>
        <w:gridCol w:w="672"/>
        <w:gridCol w:w="674"/>
        <w:gridCol w:w="360"/>
        <w:gridCol w:w="1256"/>
        <w:gridCol w:w="186"/>
        <w:gridCol w:w="524"/>
        <w:gridCol w:w="1572"/>
        <w:gridCol w:w="274"/>
        <w:gridCol w:w="653"/>
        <w:gridCol w:w="653"/>
        <w:gridCol w:w="932"/>
      </w:tblGrid>
      <w:tr>
        <w:trPr/>
        <w:tc>
          <w:tcPr>
            <w:tcW w:w="81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201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8"/>
              </w:rPr>
              <w:t>Total Number of Shares of Common Stock Purchased (000s)</w:t>
            </w:r>
            <w:r>
              <w:rPr>
                <w:rFonts w:ascii="Arial;sans-serif" w:hAnsi="Arial;sans-serif"/>
                <w:b/>
                <w:color w:val="000000"/>
                <w:sz w:val="12"/>
              </w:rPr>
              <w:t>(1)</w:t>
            </w:r>
          </w:p>
        </w:tc>
        <w:tc>
          <w:tcPr>
            <w:tcW w:w="1802"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8"/>
              </w:rPr>
              <w:t>Average Price Paid Per Share of Common Stock</w:t>
            </w:r>
            <w:r>
              <w:rPr>
                <w:rFonts w:ascii="Arial;sans-serif" w:hAnsi="Arial;sans-serif"/>
                <w:b/>
                <w:color w:val="000000"/>
                <w:sz w:val="12"/>
              </w:rPr>
              <w:t>(1)</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Approximate Value of Shares that May Yet be Purchased Under the Plans</w:t>
            </w:r>
          </w:p>
          <w:p>
            <w:pPr>
              <w:pStyle w:val="TableContents"/>
              <w:bidi w:val="0"/>
              <w:spacing w:lineRule="auto" w:line="240" w:before="0" w:after="0"/>
              <w:jc w:val="right"/>
              <w:rPr>
                <w:rFonts w:ascii="Arial;sans-serif" w:hAnsi="Arial;sans-serif"/>
                <w:b/>
                <w:i/>
                <w:color w:val="000000"/>
                <w:sz w:val="18"/>
              </w:rPr>
            </w:pPr>
            <w:r>
              <w:rPr>
                <w:rFonts w:ascii="Arial;sans-serif" w:hAnsi="Arial;sans-serif"/>
                <w:b/>
                <w:i/>
                <w:color w:val="000000"/>
                <w:sz w:val="18"/>
              </w:rPr>
              <w:t>(in millions)</w:t>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 number of shares purchased as part of publicly announced plans</w:t>
              <w:br/>
              <w:t>(000s)</w:t>
            </w:r>
          </w:p>
        </w:tc>
      </w:tr>
      <w:tr>
        <w:trPr/>
        <w:tc>
          <w:tcPr>
            <w:tcW w:w="1777" w:type="dxa"/>
            <w:gridSpan w:val="3"/>
            <w:tcBorders>
              <w:top w:val="single" w:sz="4" w:space="0" w:color="000000"/>
            </w:tcBorders>
            <w:shd w:fill="E7E7E8"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2026 - April 30, 2026</w:t>
            </w:r>
          </w:p>
        </w:tc>
        <w:tc>
          <w:tcPr>
            <w:tcW w:w="1344"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67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6"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502.42 </w:t>
            </w:r>
          </w:p>
        </w:tc>
        <w:tc>
          <w:tcPr>
            <w:tcW w:w="186"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2" w:type="dxa"/>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303.2 </w:t>
            </w:r>
          </w:p>
        </w:tc>
        <w:tc>
          <w:tcPr>
            <w:tcW w:w="274"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000000"/>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932" w:type="dxa"/>
            <w:tcBorders>
              <w:top w:val="single" w:sz="4" w:space="0" w:color="000000"/>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2026 - May 31, 2026</w:t>
            </w:r>
          </w:p>
        </w:tc>
        <w:tc>
          <w:tcPr>
            <w:tcW w:w="134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7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512.58 </w:t>
            </w:r>
          </w:p>
        </w:tc>
        <w:tc>
          <w:tcPr>
            <w:tcW w:w="18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2"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298.2 </w:t>
            </w:r>
          </w:p>
        </w:tc>
        <w:tc>
          <w:tcPr>
            <w:tcW w:w="27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93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2026 - June 30, 2026</w:t>
            </w:r>
          </w:p>
        </w:tc>
        <w:tc>
          <w:tcPr>
            <w:tcW w:w="1344"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6"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2" w:type="dxa"/>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298.2 </w:t>
            </w:r>
          </w:p>
        </w:tc>
        <w:tc>
          <w:tcPr>
            <w:tcW w:w="274"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FFFFFF"/>
            </w:tcBorders>
            <w:shd w:fill="C5CFE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top w:val="single" w:sz="4" w:space="0" w:color="FFFFFF"/>
            </w:tcBorders>
            <w:shd w:fill="C5CFE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FOR THE QUARTER ENDED June 30, 2026</w:t>
            </w:r>
          </w:p>
        </w:tc>
        <w:tc>
          <w:tcPr>
            <w:tcW w:w="1344"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w:t>
            </w:r>
            <w:r>
              <w:rPr>
                <w:color w:val="000000"/>
              </w:rPr>
              <w:t> </w:t>
            </w:r>
          </w:p>
        </w:tc>
        <w:tc>
          <w:tcPr>
            <w:tcW w:w="67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504.07</w:t>
            </w:r>
            <w:r>
              <w:rPr>
                <w:color w:val="000000"/>
              </w:rPr>
              <w:t> </w:t>
            </w:r>
          </w:p>
        </w:tc>
        <w:tc>
          <w:tcPr>
            <w:tcW w:w="186"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7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298.2</w:t>
            </w:r>
            <w:r>
              <w:rPr>
                <w:color w:val="000000"/>
              </w:rPr>
              <w:t> </w:t>
            </w:r>
          </w:p>
        </w:tc>
        <w:tc>
          <w:tcPr>
            <w:tcW w:w="274"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w:t>
            </w:r>
            <w:r>
              <w:rPr>
                <w:color w:val="000000"/>
              </w:rPr>
              <w:t> </w:t>
            </w:r>
          </w:p>
        </w:tc>
        <w:tc>
          <w:tcPr>
            <w:tcW w:w="932" w:type="dxa"/>
            <w:tcBorders>
              <w:top w:val="single" w:sz="4" w:space="0" w:color="000000"/>
              <w:bottom w:val="single" w:sz="4" w:space="0" w:color="000000"/>
            </w:tcBorders>
            <w:shd w:fill="C5CFE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The total number of share repurchases includes the surrender of the Company’s common shares in connection with the vesting of restricted stock awards.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98" w:type="dxa"/>
        <w:jc w:val="left"/>
        <w:tblInd w:w="0" w:type="dxa"/>
        <w:tblLayout w:type="fixed"/>
        <w:tblCellMar>
          <w:top w:w="28" w:type="dxa"/>
          <w:left w:w="28" w:type="dxa"/>
          <w:bottom w:w="28" w:type="dxa"/>
          <w:right w:w="28" w:type="dxa"/>
        </w:tblCellMar>
      </w:tblPr>
      <w:tblGrid>
        <w:gridCol w:w="467"/>
        <w:gridCol w:w="410"/>
        <w:gridCol w:w="412"/>
        <w:gridCol w:w="939"/>
        <w:gridCol w:w="939"/>
        <w:gridCol w:w="133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768"/>
                <w:sz w:val="36"/>
              </w:rPr>
            </w:pPr>
            <w:r>
              <w:rPr>
                <w:rFonts w:ascii="Arial;sans-serif" w:hAnsi="Arial;sans-serif"/>
                <w:b/>
                <w:color w:val="003768"/>
                <w:sz w:val="36"/>
              </w:rPr>
              <w:t>ITEM 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Other Information</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58</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tbl>
      <w:tblPr>
        <w:tblW w:w="2850" w:type="dxa"/>
        <w:jc w:val="left"/>
        <w:tblInd w:w="0" w:type="dxa"/>
        <w:tblLayout w:type="fixed"/>
        <w:tblCellMar>
          <w:top w:w="28" w:type="dxa"/>
          <w:left w:w="28" w:type="dxa"/>
          <w:bottom w:w="28" w:type="dxa"/>
          <w:right w:w="28" w:type="dxa"/>
        </w:tblCellMar>
      </w:tblPr>
      <w:tblGrid>
        <w:gridCol w:w="467"/>
        <w:gridCol w:w="410"/>
        <w:gridCol w:w="412"/>
        <w:gridCol w:w="457"/>
        <w:gridCol w:w="457"/>
        <w:gridCol w:w="647"/>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768"/>
                <w:sz w:val="36"/>
              </w:rPr>
            </w:pPr>
            <w:r>
              <w:rPr>
                <w:rFonts w:ascii="Arial;sans-serif" w:hAnsi="Arial;sans-serif"/>
                <w:b/>
                <w:color w:val="003768"/>
                <w:sz w:val="36"/>
              </w:rPr>
              <w:t>ITEM 6</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Exhibits</w:t>
            </w:r>
          </w:p>
        </w:tc>
      </w:tr>
    </w:tbl>
    <w:tbl>
      <w:tblPr>
        <w:tblW w:w="10205" w:type="dxa"/>
        <w:jc w:val="left"/>
        <w:tblInd w:w="0" w:type="dxa"/>
        <w:tblLayout w:type="fixed"/>
        <w:tblCellMar>
          <w:top w:w="28" w:type="dxa"/>
          <w:left w:w="28" w:type="dxa"/>
          <w:bottom w:w="28" w:type="dxa"/>
          <w:right w:w="28" w:type="dxa"/>
        </w:tblCellMar>
      </w:tblPr>
      <w:tblGrid>
        <w:gridCol w:w="294"/>
        <w:gridCol w:w="258"/>
        <w:gridCol w:w="259"/>
        <w:gridCol w:w="2136"/>
        <w:gridCol w:w="1843"/>
        <w:gridCol w:w="1850"/>
        <w:gridCol w:w="265"/>
        <w:gridCol w:w="170"/>
        <w:gridCol w:w="147"/>
        <w:gridCol w:w="272"/>
        <w:gridCol w:w="244"/>
        <w:gridCol w:w="155"/>
        <w:gridCol w:w="265"/>
        <w:gridCol w:w="265"/>
        <w:gridCol w:w="173"/>
        <w:gridCol w:w="198"/>
        <w:gridCol w:w="198"/>
        <w:gridCol w:w="200"/>
        <w:gridCol w:w="294"/>
        <w:gridCol w:w="294"/>
        <w:gridCol w:w="42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w:t>
              <w:br/>
              <w:t>Number</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c>
          <w:tcPr>
            <w:tcW w:w="5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6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 No.</w:t>
            </w:r>
          </w:p>
        </w:tc>
        <w:tc>
          <w:tcPr>
            <w:tcW w:w="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w:t>
              <w:br/>
              <w:t>Date</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w:t>
              <w:br/>
              <w:t>Furnished</w:t>
              <w:br/>
              <w:t>Herewith</w:t>
            </w:r>
          </w:p>
        </w:tc>
      </w:tr>
      <w:tr>
        <w:trPr/>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5829"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Stock Purchase Agreement, by and among Hubbell Incorporated (Delaware), NSI Electrical Buyer, Inc., NSI Buyer, LP and Hubbell Incorporated, dated as of May 1, 2026*</w:t>
              </w:r>
            </w:hyperlink>
          </w:p>
        </w:tc>
        <w:tc>
          <w:tcPr>
            <w:tcW w:w="58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7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001-02958</w:t>
            </w:r>
          </w:p>
        </w:tc>
        <w:tc>
          <w:tcPr>
            <w:tcW w:w="70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59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5/4/2026</w:t>
            </w:r>
          </w:p>
        </w:tc>
        <w:tc>
          <w:tcPr>
            <w:tcW w:w="1013"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Eighth Supplemental Indenture, dated as of June 8, 2026, between Hubbell Incorporated and U.S. Bank Trust Company, National Association, as trustee</w:t>
              </w:r>
            </w:hyperlink>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001-02958</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6/8/2026</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w:t>
            </w:r>
          </w:p>
        </w:tc>
        <w:tc>
          <w:tcPr>
            <w:tcW w:w="5829"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Form of 4.650% Senior Notes due 2031 (included in Exhibit 4.2 to the Company’s Current Report on Form 8-K filed on June 8, 2026)</w:t>
              </w:r>
            </w:hyperlink>
          </w:p>
        </w:tc>
        <w:tc>
          <w:tcPr>
            <w:tcW w:w="58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7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001-02958</w:t>
            </w:r>
          </w:p>
        </w:tc>
        <w:tc>
          <w:tcPr>
            <w:tcW w:w="70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59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6/8/2026</w:t>
            </w:r>
          </w:p>
        </w:tc>
        <w:tc>
          <w:tcPr>
            <w:tcW w:w="1013"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4.3</w:t>
            </w:r>
          </w:p>
        </w:tc>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Form of 4.900% Senior Notes due 2033 (included in Exhibit 4.2 to the Company’s Current Report on Form 8-K filed on June 8, 2026)</w:t>
              </w:r>
            </w:hyperlink>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001-02958</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6/8/2026</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4.4</w:t>
            </w:r>
          </w:p>
        </w:tc>
        <w:tc>
          <w:tcPr>
            <w:tcW w:w="5829"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Form of 5.150% Senior Notes due 2036 (included in Exhibit 4.2 to the Company’s Current Report on Form 8-K filed on June 8, 2026)</w:t>
              </w:r>
            </w:hyperlink>
          </w:p>
        </w:tc>
        <w:tc>
          <w:tcPr>
            <w:tcW w:w="58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7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001-02958</w:t>
            </w:r>
          </w:p>
        </w:tc>
        <w:tc>
          <w:tcPr>
            <w:tcW w:w="70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59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6/8/2026</w:t>
            </w:r>
          </w:p>
        </w:tc>
        <w:tc>
          <w:tcPr>
            <w:tcW w:w="1013" w:type="dxa"/>
            <w:gridSpan w:val="3"/>
            <w:tcBorders/>
            <w:shd w:fill="E7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Term Loan Agreement, dated as of May 15, 2026, by and among Hubbell Incorporated, the Lenders party thereto and JPMorgan Chase Bank, N.A. as Administrative Agent</w:t>
              </w:r>
            </w:hyperlink>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001-02958</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5/15/2026</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5829"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hyperlink w:anchor="hubb-20260630xex311.htm">
              <w:r>
                <w:rPr>
                  <w:rStyle w:val="InternetLink"/>
                  <w:rFonts w:ascii="Arial;sans-serif" w:hAnsi="Arial;sans-serif"/>
                  <w:b w:val="false"/>
                  <w:color w:val="0000FF"/>
                  <w:sz w:val="18"/>
                  <w:u w:val="single"/>
                </w:rPr>
                <w:t>Certification of Chief Executive Officer Pursuant to Item 601(b)(31) of Regulation S-K, as adopted pursuant to Section 302 of the Sarbanes-Oxley Act of 2002</w:t>
              </w:r>
            </w:hyperlink>
          </w:p>
        </w:tc>
        <w:tc>
          <w:tcPr>
            <w:tcW w:w="58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7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ubb-20260630xex312.htm">
              <w:r>
                <w:rPr>
                  <w:rStyle w:val="InternetLink"/>
                  <w:rFonts w:ascii="Arial;sans-serif" w:hAnsi="Arial;sans-serif"/>
                  <w:b w:val="false"/>
                  <w:color w:val="0000FF"/>
                  <w:sz w:val="18"/>
                  <w:u w:val="single"/>
                </w:rPr>
                <w:t>Certification of Chief Financial Officer Pursuant to Item 601(b)(31) of Regulation S-K, as adopted pursuant to Section 302 of the Sarbanes-Oxley Act of 2002</w:t>
              </w:r>
            </w:hyperlink>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5829"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pPr>
            <w:hyperlink w:anchor="hubb-20260630xex321.htm">
              <w:r>
                <w:rPr>
                  <w:rStyle w:val="InternetLink"/>
                  <w:rFonts w:ascii="Arial;sans-serif" w:hAnsi="Arial;sans-serif"/>
                  <w:b w:val="false"/>
                  <w:color w:val="0000FF"/>
                  <w:sz w:val="18"/>
                  <w:u w:val="single"/>
                </w:rPr>
                <w:t>Certification of Chief Executive Officer Pursuant to 18 U.S.C. Section 1350, as adopted pursuant to Section 906 of the Sarbanes-Oxley Act of 2002</w:t>
              </w:r>
            </w:hyperlink>
          </w:p>
        </w:tc>
        <w:tc>
          <w:tcPr>
            <w:tcW w:w="58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7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ubb-20260630xex322.htm">
              <w:r>
                <w:rPr>
                  <w:rStyle w:val="InternetLink"/>
                  <w:rFonts w:ascii="Arial;sans-serif" w:hAnsi="Arial;sans-serif"/>
                  <w:b w:val="false"/>
                  <w:color w:val="0000FF"/>
                  <w:sz w:val="18"/>
                  <w:u w:val="single"/>
                </w:rPr>
                <w:t>Certification of Chief Financial Officer Pursuant to 18 U.S.C. Section 1350, as adopted pursuant to Section 906 of the Sarbanes-Oxley Act of 2002</w:t>
              </w:r>
            </w:hyperlink>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81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5829" w:type="dxa"/>
            <w:gridSpan w:val="3"/>
            <w:tcBorders/>
            <w:shd w:fill="E7E7E8"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following materials from Hubbell Incorporated's Quarterly Report on Form 10-Q for the quarter ended June 30, 2026 formatted in Inline Extensible Business Reporting Language (iXBRL): (i) the Condensed Consolidated Statements of Income, (ii) the Condensed Consolidated Statements of Comprehensive Income, (iii) the Condensed Consolidated Balance Sheets, (iv) the Condensed Consolidated Statements of Cash Flows, and (v) Notes to the Condensed Consolidated Financial Statements.</w:t>
            </w:r>
          </w:p>
        </w:tc>
        <w:tc>
          <w:tcPr>
            <w:tcW w:w="582"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71"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6"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3" w:type="dxa"/>
            <w:gridSpan w:val="3"/>
            <w:tcBorders/>
            <w:shd w:fill="E7E7E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of this Quarterly Report on Form 10-Q for the quarter ended June 30, 2026, formatted in Inline XBRL (included within the Exhibit 101 attachments)</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Schedules have been omitted pursuant to Item 601(a)(5) of Regulation S-K. Hubbell hereby undertakes to furnish supplemental copies of any of the omitted schedules upon request by the U.S. Securities and Exchange Commission; provided, that Hubbell may request confidential treatment pursuant to Rule 24b-2 of the Securities Exchange Act of 1934, as amended, for any schedules so furnished.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59</w:t>
                      </w:r>
                    </w:p>
                  </w:txbxContent>
                </v:textbox>
                <w10:wrap type="none"/>
              </v:rect>
            </w:pict>
          </mc:Fallback>
        </mc:AlternateContent>
      </w:r>
    </w:p>
    <w:p>
      <w:pPr>
        <w:pStyle w:val="TextBody"/>
        <w:bidi w:val="0"/>
        <w:spacing w:lineRule="auto" w:line="240" w:before="0" w:after="0"/>
        <w:jc w:val="left"/>
        <w:rPr/>
      </w:pPr>
      <w:hyperlink w:anchor="i686965d061564401bd4f1f8540620a8b_7">
        <w:r>
          <w:rPr>
            <w:rStyle w:val="InternetLink"/>
            <w:rFonts w:ascii="Arial;sans-serif" w:hAnsi="Arial;sans-serif"/>
            <w:b w:val="false"/>
            <w:color w:val="0000FF"/>
            <w:sz w:val="16"/>
            <w:u w:val="single"/>
          </w:rPr>
          <w:t>Back to Contents</w:t>
        </w:r>
      </w:hyperlink>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July 29, 2026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59"/>
        <w:gridCol w:w="404"/>
        <w:gridCol w:w="404"/>
        <w:gridCol w:w="1233"/>
        <w:gridCol w:w="1231"/>
        <w:gridCol w:w="1241"/>
        <w:gridCol w:w="109"/>
        <w:gridCol w:w="109"/>
        <w:gridCol w:w="109"/>
        <w:gridCol w:w="1513"/>
        <w:gridCol w:w="1503"/>
        <w:gridCol w:w="1514"/>
        <w:gridCol w:w="109"/>
        <w:gridCol w:w="109"/>
        <w:gridCol w:w="158"/>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HUBBELL INCORPORATED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7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 Joseph A. Capozzoli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Jonathan M. Del Nero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Joseph A. Capozzoli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Jonathan M. Del Nero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Senior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Vice President, Controller (Principal Accounting Officer)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rPr>
                          <w:color w:val="000000"/>
                        </w:rPr>
                        <w:t>    </w:t>
                      </w:r>
                      <w:r>
                        <w:rPr>
                          <w:rFonts w:ascii="Arial;sans-serif" w:hAnsi="Arial;sans-serif"/>
                          <w:b w:val="false"/>
                          <w:color w:val="000000"/>
                          <w:sz w:val="18"/>
                        </w:rPr>
                        <w:t>60</w:t>
                      </w:r>
                    </w:p>
                  </w:txbxContent>
                </v:textbox>
                <w10:wrap type="none"/>
              </v:rect>
            </w:pict>
          </mc:Fallback>
        </mc:AlternateContent>
      </w:r>
    </w:p>
    <w:p>
      <w:pPr>
        <w:pStyle w:val="TextBody"/>
        <w:bidi w:val="0"/>
        <w:spacing w:lineRule="auto" w:line="288" w:before="0" w:after="0"/>
        <w:jc w:val="left"/>
        <w:rPr>
          <w:rFonts w:ascii="Arial;sans-serif" w:hAnsi="Arial;sans-serif"/>
          <w:b/>
          <w:color w:val="003768"/>
          <w:sz w:val="28"/>
        </w:rPr>
      </w:pPr>
      <w:r>
        <w:rPr>
          <w:rFonts w:ascii="Arial;sans-serif" w:hAnsi="Arial;sans-serif"/>
          <w:b/>
          <w:color w:val="003768"/>
          <w:sz w:val="28"/>
        </w:rPr>
        <w:t>EXHIBIT 31.1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 Gerben W. Bakker, certify that:</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Hubbell Incorporated (the “registrant”);</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70" w:type="dxa"/>
        <w:jc w:val="left"/>
        <w:tblInd w:w="0" w:type="dxa"/>
        <w:tblLayout w:type="fixed"/>
        <w:tblCellMar>
          <w:top w:w="28" w:type="dxa"/>
          <w:left w:w="28" w:type="dxa"/>
          <w:bottom w:w="28" w:type="dxa"/>
          <w:right w:w="28" w:type="dxa"/>
        </w:tblCellMar>
      </w:tblPr>
      <w:tblGrid>
        <w:gridCol w:w="201"/>
        <w:gridCol w:w="176"/>
        <w:gridCol w:w="178"/>
        <w:gridCol w:w="1497"/>
        <w:gridCol w:w="1497"/>
        <w:gridCol w:w="2121"/>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Gerben W. Bakker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Gerben W. Bakker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Chairman of the Board, 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p>
                  </w:txbxContent>
                </v:textbox>
                <w10:wrap type="none"/>
              </v:rect>
            </w:pict>
          </mc:Fallback>
        </mc:AlternateContent>
      </w:r>
    </w:p>
    <w:p>
      <w:pPr>
        <w:pStyle w:val="TextBody"/>
        <w:bidi w:val="0"/>
        <w:spacing w:lineRule="auto" w:line="288" w:before="0" w:after="120"/>
        <w:jc w:val="left"/>
        <w:rPr>
          <w:rFonts w:ascii="Arial;sans-serif" w:hAnsi="Arial;sans-serif"/>
          <w:b/>
          <w:color w:val="003768"/>
          <w:sz w:val="28"/>
        </w:rPr>
      </w:pPr>
      <w:r>
        <w:rPr>
          <w:rFonts w:ascii="Arial;sans-serif" w:hAnsi="Arial;sans-serif"/>
          <w:b/>
          <w:color w:val="003768"/>
          <w:sz w:val="28"/>
        </w:rPr>
        <w:t>EXHIBIT 31.2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 Joseph A. Capozzoli, certify that:</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Hubbell Incorporated (the “registrant”);</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108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4408" w:type="dxa"/>
        <w:jc w:val="left"/>
        <w:tblInd w:w="0" w:type="dxa"/>
        <w:tblLayout w:type="fixed"/>
        <w:tblCellMar>
          <w:top w:w="28" w:type="dxa"/>
          <w:left w:w="28" w:type="dxa"/>
          <w:bottom w:w="28" w:type="dxa"/>
          <w:right w:w="28" w:type="dxa"/>
        </w:tblCellMar>
      </w:tblPr>
      <w:tblGrid>
        <w:gridCol w:w="217"/>
        <w:gridCol w:w="190"/>
        <w:gridCol w:w="192"/>
        <w:gridCol w:w="1112"/>
        <w:gridCol w:w="1112"/>
        <w:gridCol w:w="1585"/>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A. Capozzoli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Joseph A. Capozzoli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Senior Vice President, 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Date: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29, 2026</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p>
                  </w:txbxContent>
                </v:textbox>
                <w10:wrap type="none"/>
              </v:rect>
            </w:pict>
          </mc:Fallback>
        </mc:AlternateContent>
      </w:r>
    </w:p>
    <w:p>
      <w:pPr>
        <w:pStyle w:val="TextBody"/>
        <w:bidi w:val="0"/>
        <w:spacing w:lineRule="auto" w:line="288" w:before="0" w:after="0"/>
        <w:ind w:left="0" w:right="0" w:hanging="1800"/>
        <w:jc w:val="left"/>
        <w:rPr/>
      </w:pPr>
      <w:r>
        <w:rPr>
          <w:rFonts w:ascii="Arial;sans-serif" w:hAnsi="Arial;sans-serif"/>
          <w:b/>
          <w:color w:val="003768"/>
          <w:sz w:val="28"/>
        </w:rPr>
        <w:t xml:space="preserve">EXHIBIT 32.1 </w:t>
      </w:r>
      <w:r>
        <w:rPr>
          <w:rFonts w:ascii="Arial;sans-serif" w:hAnsi="Arial;sans-serif"/>
          <w:b/>
          <w:color w:val="000000"/>
          <w:sz w:val="28"/>
        </w:rPr>
        <w:t>Certification Pursuant to 18 U.S.C. Section 1350, as Adopted Pursuant to Section 906 of the Sarbanes-Oxley Act of 2002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 connection with the Quarterly Report of Hubbell Incorporated (the “Company”) on Form 10-Q for the period ended June 30, 2026 as filed with the Securities and Exchange Commission on the date hereof (the “Report”), I, Gerben W. Bakker, certify, pursuant to 18 U.S.C. §1350, as adopted pursuant to §906 of the Sarbanes-Oxley Act of 2002, that:</w:t>
      </w:r>
    </w:p>
    <w:p>
      <w:pPr>
        <w:pStyle w:val="TextBody"/>
        <w:bidi w:val="0"/>
        <w:spacing w:before="0" w:after="120"/>
        <w:jc w:val="left"/>
        <w:rPr/>
      </w:pPr>
      <w:r>
        <w:rPr/>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as applicable, of the Securities Exchange Act of 1934, as amended; and</w:t>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5457" w:type="dxa"/>
        <w:jc w:val="center"/>
        <w:tblInd w:w="0" w:type="dxa"/>
        <w:tblLayout w:type="fixed"/>
        <w:tblCellMar>
          <w:top w:w="28" w:type="dxa"/>
          <w:left w:w="28" w:type="dxa"/>
          <w:bottom w:w="28" w:type="dxa"/>
          <w:right w:w="28" w:type="dxa"/>
        </w:tblCellMar>
      </w:tblPr>
      <w:tblGrid>
        <w:gridCol w:w="124"/>
        <w:gridCol w:w="109"/>
        <w:gridCol w:w="109"/>
        <w:gridCol w:w="1497"/>
        <w:gridCol w:w="1497"/>
        <w:gridCol w:w="21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Gerben W. Bakker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Gerben W. Bakker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Chairman of the Board,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29,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p>
                  </w:txbxContent>
                </v:textbox>
                <w10:wrap type="none"/>
              </v:rect>
            </w:pict>
          </mc:Fallback>
        </mc:AlternateContent>
      </w:r>
    </w:p>
    <w:p>
      <w:pPr>
        <w:pStyle w:val="TextBody"/>
        <w:bidi w:val="0"/>
        <w:spacing w:lineRule="auto" w:line="288" w:before="0" w:after="0"/>
        <w:ind w:left="0" w:right="0" w:hanging="1800"/>
        <w:jc w:val="left"/>
        <w:rPr/>
      </w:pPr>
      <w:r>
        <w:rPr>
          <w:rFonts w:ascii="Arial;sans-serif" w:hAnsi="Arial;sans-serif"/>
          <w:b/>
          <w:color w:val="003768"/>
          <w:sz w:val="28"/>
        </w:rPr>
        <w:t xml:space="preserve">EXHIBIT 32.2 </w:t>
      </w:r>
      <w:r>
        <w:rPr>
          <w:rFonts w:ascii="Arial;sans-serif" w:hAnsi="Arial;sans-serif"/>
          <w:b/>
          <w:color w:val="000000"/>
          <w:sz w:val="28"/>
        </w:rPr>
        <w:t>Certification Pursuant to 18 U.S.C. Section 1350, as Adopted Pursuant to Section 906 of the Sarbanes-Oxley Act of 2002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376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 connection with the Quarterly Report of Hubbell Incorporated (the “Company”) on Form 10-Q for the period ended June 30, 2026 as filed with the Securities and Exchange Commission on the date hereof (the “Report”), I, Joseph A. Capozzoli, certify, pursuant to 18 U.S.C. §1350, as adopted pursuant to §906 of the Sarbanes-Oxley Act of 2002, that:</w:t>
      </w:r>
    </w:p>
    <w:p>
      <w:pPr>
        <w:pStyle w:val="TextBody"/>
        <w:bidi w:val="0"/>
        <w:spacing w:before="0" w:after="120"/>
        <w:jc w:val="left"/>
        <w:rPr/>
      </w:pPr>
      <w:r>
        <w:rPr/>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as applicable, of the Securities Exchange Act of 1934, as amended; and</w:t>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4151" w:type="dxa"/>
        <w:jc w:val="center"/>
        <w:tblInd w:w="0" w:type="dxa"/>
        <w:tblLayout w:type="fixed"/>
        <w:tblCellMar>
          <w:top w:w="28" w:type="dxa"/>
          <w:left w:w="28" w:type="dxa"/>
          <w:bottom w:w="28" w:type="dxa"/>
          <w:right w:w="28" w:type="dxa"/>
        </w:tblCellMar>
      </w:tblPr>
      <w:tblGrid>
        <w:gridCol w:w="124"/>
        <w:gridCol w:w="109"/>
        <w:gridCol w:w="109"/>
        <w:gridCol w:w="1112"/>
        <w:gridCol w:w="1112"/>
        <w:gridCol w:w="15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A. Capozzoli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Joseph A. Capozzoli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Senior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29, 2026</w:t>
            </w:r>
          </w:p>
        </w:tc>
      </w:tr>
    </w:tbl>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8"/>
                        </w:rPr>
                        <w:t>HUBBELL INCORPORATED</w:t>
                      </w:r>
                      <w:r>
                        <w:rPr>
                          <w:rFonts w:ascii="Arial;sans-serif" w:hAnsi="Arial;sans-serif"/>
                          <w:b w:val="false"/>
                          <w:color w:val="000000"/>
                          <w:sz w:val="18"/>
                        </w:rPr>
                        <w:t>-</w:t>
                      </w:r>
                      <w:r>
                        <w:rPr>
                          <w:rFonts w:ascii="Arial;sans-serif" w:hAnsi="Arial;sans-serif"/>
                          <w:b w:val="false"/>
                          <w:i/>
                          <w:color w:val="000000"/>
                          <w:sz w:val="18"/>
                        </w:rPr>
                        <w:t>Form 10-Q</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48898/000119312526204099/d133302dex21.htm" TargetMode="External"/><Relationship Id="rId4" Type="http://schemas.openxmlformats.org/officeDocument/2006/relationships/hyperlink" Target="https://www.sec.gov/Archives/edgar/data/48898/000119312526261758/d103727dex42.htm" TargetMode="External"/><Relationship Id="rId5" Type="http://schemas.openxmlformats.org/officeDocument/2006/relationships/hyperlink" Target="https://www.sec.gov/Archives/edgar/data/48898/000119312526261758/d103727dex42.htm" TargetMode="External"/><Relationship Id="rId6" Type="http://schemas.openxmlformats.org/officeDocument/2006/relationships/hyperlink" Target="https://www.sec.gov/Archives/edgar/data/48898/000119312526261758/d103727dex42.htm" TargetMode="External"/><Relationship Id="rId7" Type="http://schemas.openxmlformats.org/officeDocument/2006/relationships/hyperlink" Target="https://www.sec.gov/Archives/edgar/data/48898/000119312526261758/d103727dex42.htm" TargetMode="External"/><Relationship Id="rId8" Type="http://schemas.openxmlformats.org/officeDocument/2006/relationships/hyperlink" Target="https://www.sec.gov/Archives/edgar/data/48898/000119312526227142/d147999d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25743</Words>
  <Characters>143506</Characters>
  <CharactersWithSpaces>167752</CharactersWithSpaces>
  <Paragraphs>3835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